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A98B9" w14:textId="6FEF7A5C" w:rsidR="00261848" w:rsidRDefault="00261848" w:rsidP="00261848">
      <w:pPr>
        <w:pStyle w:val="CH"/>
      </w:pPr>
      <w:bookmarkStart w:id="0" w:name="Title"/>
      <w:bookmarkStart w:id="1" w:name="DocumentFor"/>
      <w:bookmarkStart w:id="2" w:name="_Hlk514061252"/>
      <w:bookmarkEnd w:id="0"/>
      <w:bookmarkEnd w:id="1"/>
      <w:r>
        <w:rPr>
          <w:szCs w:val="24"/>
        </w:rPr>
        <w:t>3GPP TSG-RAN WG4 Meeting #</w:t>
      </w:r>
      <w:r>
        <w:t xml:space="preserve"> </w:t>
      </w:r>
      <w:r>
        <w:rPr>
          <w:szCs w:val="24"/>
        </w:rPr>
        <w:t>99-e</w:t>
      </w:r>
      <w:r>
        <w:t xml:space="preserve"> </w:t>
      </w:r>
      <w:r>
        <w:tab/>
      </w:r>
      <w:r>
        <w:tab/>
      </w:r>
      <w:r w:rsidR="00491AAB" w:rsidRPr="00491AAB">
        <w:t>R4-2108972</w:t>
      </w:r>
    </w:p>
    <w:p w14:paraId="0241AFDA" w14:textId="77777777" w:rsidR="00261848" w:rsidRDefault="00261848" w:rsidP="00261848">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May. 19-27, 2021</w:t>
      </w:r>
    </w:p>
    <w:p w14:paraId="52C0C4AA" w14:textId="54256F5C"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AB5B01" w:rsidRPr="00AB5B01">
        <w:rPr>
          <w:rFonts w:ascii="Arial" w:hAnsi="Arial" w:cs="Arial"/>
          <w:b/>
          <w:noProof/>
          <w:sz w:val="24"/>
          <w:szCs w:val="24"/>
          <w:lang w:val="en-US" w:eastAsia="en-US"/>
        </w:rPr>
        <w:t>9.12.4.4</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29134CE"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A48CA">
        <w:rPr>
          <w:rFonts w:ascii="Arial" w:hAnsi="Arial"/>
          <w:bCs/>
          <w:noProof/>
          <w:sz w:val="24"/>
          <w:lang w:val="en-US" w:eastAsia="en-US"/>
        </w:rPr>
        <w:t xml:space="preserve">Measurement </w:t>
      </w:r>
      <w:r w:rsidR="001A7E58" w:rsidRPr="001A7E58">
        <w:rPr>
          <w:rFonts w:ascii="Arial" w:hAnsi="Arial"/>
          <w:bCs/>
          <w:noProof/>
          <w:sz w:val="24"/>
          <w:lang w:val="en-US" w:eastAsia="en-US"/>
        </w:rPr>
        <w:t>requirements in NTN Systems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311062B1" w14:textId="4CD9B39A" w:rsidR="0093382D" w:rsidRDefault="00C97945" w:rsidP="001C0D98">
      <w:pPr>
        <w:rPr>
          <w:lang w:eastAsia="en-US"/>
        </w:rPr>
      </w:pPr>
      <w:r w:rsidRPr="00C97945">
        <w:rPr>
          <w:lang w:eastAsia="en-US"/>
        </w:rPr>
        <w:t xml:space="preserve">RAN4 </w:t>
      </w:r>
      <w:r w:rsidR="0093382D">
        <w:rPr>
          <w:lang w:eastAsia="en-US"/>
        </w:rPr>
        <w:t xml:space="preserve">measurement requirement </w:t>
      </w:r>
      <w:r w:rsidRPr="00C97945">
        <w:rPr>
          <w:lang w:eastAsia="en-US"/>
        </w:rPr>
        <w:t xml:space="preserve">discussion is pending on RAN2 measurement framework development. Thus, in this </w:t>
      </w:r>
      <w:r w:rsidR="0093382D">
        <w:rPr>
          <w:lang w:eastAsia="en-US"/>
        </w:rPr>
        <w:t>contribution</w:t>
      </w:r>
      <w:r w:rsidRPr="00C97945">
        <w:rPr>
          <w:lang w:eastAsia="en-US"/>
        </w:rPr>
        <w:t xml:space="preserve">, </w:t>
      </w:r>
      <w:r w:rsidR="0093382D">
        <w:rPr>
          <w:lang w:eastAsia="en-US"/>
        </w:rPr>
        <w:t xml:space="preserve">we provide our views </w:t>
      </w:r>
      <w:r w:rsidR="00722701">
        <w:rPr>
          <w:lang w:eastAsia="en-US"/>
        </w:rPr>
        <w:t xml:space="preserve">on </w:t>
      </w:r>
      <w:r w:rsidRPr="00C97945">
        <w:rPr>
          <w:lang w:eastAsia="en-US"/>
        </w:rPr>
        <w:t>what RAN4 need to further investigate in the meantime</w:t>
      </w:r>
      <w:r w:rsidR="00722701">
        <w:rPr>
          <w:lang w:eastAsia="en-US"/>
        </w:rPr>
        <w:t xml:space="preserve"> for the following aspects</w:t>
      </w:r>
      <w:r w:rsidR="00E849CF">
        <w:rPr>
          <w:lang w:eastAsia="en-US"/>
        </w:rPr>
        <w:t>.</w:t>
      </w:r>
    </w:p>
    <w:p w14:paraId="05757565" w14:textId="77777777" w:rsidR="001C0D98" w:rsidRPr="001C0D98" w:rsidRDefault="001C0D98" w:rsidP="005F5ACA">
      <w:pPr>
        <w:pStyle w:val="ListParagraph"/>
        <w:numPr>
          <w:ilvl w:val="0"/>
          <w:numId w:val="7"/>
        </w:numPr>
        <w:jc w:val="both"/>
      </w:pPr>
      <w:r w:rsidRPr="001C0D98">
        <w:t>Network Topologies</w:t>
      </w:r>
    </w:p>
    <w:p w14:paraId="0625652F" w14:textId="77777777" w:rsidR="001C0D98" w:rsidRPr="001C0D98" w:rsidRDefault="001C0D98" w:rsidP="005F5ACA">
      <w:pPr>
        <w:pStyle w:val="ListParagraph"/>
        <w:numPr>
          <w:ilvl w:val="0"/>
          <w:numId w:val="7"/>
        </w:numPr>
        <w:jc w:val="both"/>
      </w:pPr>
      <w:r w:rsidRPr="001C0D98">
        <w:t>L1/L3 Measurements</w:t>
      </w:r>
    </w:p>
    <w:p w14:paraId="63A7661B" w14:textId="77777777" w:rsidR="001C0D98" w:rsidRPr="001C0D98" w:rsidRDefault="001C0D98" w:rsidP="005F5ACA">
      <w:pPr>
        <w:pStyle w:val="ListParagraph"/>
        <w:numPr>
          <w:ilvl w:val="0"/>
          <w:numId w:val="7"/>
        </w:numPr>
        <w:jc w:val="both"/>
      </w:pPr>
      <w:r w:rsidRPr="001C0D98">
        <w:t>Interruption/Measurement Gaps for GNSS Measurements</w:t>
      </w:r>
    </w:p>
    <w:p w14:paraId="44DBE9FA" w14:textId="4E123EB7" w:rsidR="00EF60CC" w:rsidRDefault="000A567D" w:rsidP="00EF60CC">
      <w:pPr>
        <w:pStyle w:val="Heading1"/>
      </w:pPr>
      <w:r>
        <w:t xml:space="preserve">2. </w:t>
      </w:r>
      <w:r>
        <w:tab/>
      </w:r>
      <w:r w:rsidR="002A1C01">
        <w:t>Discussion</w:t>
      </w:r>
    </w:p>
    <w:p w14:paraId="247EAB97" w14:textId="77777777" w:rsidR="008B01EA" w:rsidRDefault="008B01EA" w:rsidP="008B01EA">
      <w:pPr>
        <w:jc w:val="both"/>
        <w:rPr>
          <w:lang w:val="en-US"/>
        </w:rPr>
      </w:pPr>
      <w:r>
        <w:rPr>
          <w:lang w:val="en-US"/>
        </w:rPr>
        <w:t>In NTN, as opposed to TN, a frequency reuse factor will likely be larger than 1 to mitigate inter-cell (inter-beam footprint) interference as shown in Figure 1. In the figure, different colors represent disjoint frequency resources. Depending on network deployment scenario, different frequency resources can be used as below:</w:t>
      </w:r>
    </w:p>
    <w:p w14:paraId="2A899640" w14:textId="739F80D9" w:rsidR="008B01EA" w:rsidRPr="00517E95" w:rsidRDefault="008B01EA" w:rsidP="008B01EA">
      <w:pPr>
        <w:pStyle w:val="ListParagraph"/>
        <w:numPr>
          <w:ilvl w:val="0"/>
          <w:numId w:val="3"/>
        </w:numPr>
        <w:jc w:val="both"/>
        <w:rPr>
          <w:lang w:val="en-US"/>
        </w:rPr>
      </w:pPr>
      <w:r>
        <w:rPr>
          <w:lang w:val="en-US"/>
        </w:rPr>
        <w:t>(</w:t>
      </w:r>
      <w:r w:rsidRPr="00517E95">
        <w:rPr>
          <w:lang w:val="en-US"/>
        </w:rPr>
        <w:t xml:space="preserve">Deployment-A) </w:t>
      </w:r>
      <w:r>
        <w:rPr>
          <w:lang w:val="en-US"/>
        </w:rPr>
        <w:t>Cells in a set of frequency-reuse s</w:t>
      </w:r>
      <w:r w:rsidRPr="00517E95">
        <w:rPr>
          <w:lang w:val="en-US"/>
        </w:rPr>
        <w:t xml:space="preserve">hare </w:t>
      </w:r>
      <w:r w:rsidR="00BA6EBF">
        <w:rPr>
          <w:lang w:val="en-US"/>
        </w:rPr>
        <w:t>one</w:t>
      </w:r>
      <w:r>
        <w:rPr>
          <w:lang w:val="en-US"/>
        </w:rPr>
        <w:t xml:space="preserve"> </w:t>
      </w:r>
      <w:r w:rsidRPr="00517E95">
        <w:rPr>
          <w:lang w:val="en-US"/>
        </w:rPr>
        <w:t xml:space="preserve">Cell-ID and </w:t>
      </w:r>
      <w:r>
        <w:rPr>
          <w:lang w:val="en-US"/>
        </w:rPr>
        <w:t>have</w:t>
      </w:r>
      <w:r w:rsidRPr="00517E95">
        <w:rPr>
          <w:lang w:val="en-US"/>
        </w:rPr>
        <w:t xml:space="preserve"> different BWP</w:t>
      </w:r>
      <w:r>
        <w:rPr>
          <w:lang w:val="en-US"/>
        </w:rPr>
        <w:t>-ID</w:t>
      </w:r>
      <w:r w:rsidRPr="00517E95">
        <w:rPr>
          <w:lang w:val="en-US"/>
        </w:rPr>
        <w:t>s with different SSB-IDs</w:t>
      </w:r>
    </w:p>
    <w:p w14:paraId="7B55D948" w14:textId="77777777" w:rsidR="008B01EA" w:rsidRPr="00517E95" w:rsidRDefault="008B01EA" w:rsidP="008B01EA">
      <w:pPr>
        <w:pStyle w:val="ListParagraph"/>
        <w:numPr>
          <w:ilvl w:val="0"/>
          <w:numId w:val="3"/>
        </w:numPr>
        <w:jc w:val="both"/>
        <w:rPr>
          <w:lang w:val="en-US"/>
        </w:rPr>
      </w:pPr>
      <w:r>
        <w:rPr>
          <w:lang w:val="en-US"/>
        </w:rPr>
        <w:t>(</w:t>
      </w:r>
      <w:r w:rsidRPr="00517E95">
        <w:rPr>
          <w:lang w:val="en-US"/>
        </w:rPr>
        <w:t xml:space="preserve">Deployment-B) </w:t>
      </w:r>
      <w:r>
        <w:rPr>
          <w:lang w:val="en-US"/>
        </w:rPr>
        <w:t xml:space="preserve">Cells in a set of frequency-reuse have </w:t>
      </w:r>
      <w:r w:rsidRPr="00517E95">
        <w:rPr>
          <w:lang w:val="en-US"/>
        </w:rPr>
        <w:t>different Cell-IDs</w:t>
      </w:r>
    </w:p>
    <w:p w14:paraId="277D9CAA" w14:textId="77777777" w:rsidR="008B01EA" w:rsidRDefault="008B01EA" w:rsidP="008B01EA">
      <w:pPr>
        <w:jc w:val="both"/>
        <w:rPr>
          <w:lang w:val="en-US"/>
        </w:rPr>
      </w:pPr>
    </w:p>
    <w:p w14:paraId="18EFE2D4" w14:textId="2059F16D" w:rsidR="008B01EA" w:rsidRPr="00517E95" w:rsidRDefault="008B01EA" w:rsidP="008B01EA">
      <w:pPr>
        <w:jc w:val="both"/>
        <w:rPr>
          <w:lang w:val="en-US"/>
        </w:rPr>
      </w:pPr>
      <w:r>
        <w:rPr>
          <w:lang w:val="en-US"/>
        </w:rPr>
        <w:t xml:space="preserve">In Deployment-A, UE mobility under a serving satellite can be dealt with BWP switching, i.e. L1 based mobility. On the contrary, UE mobility will </w:t>
      </w:r>
      <w:r w:rsidR="00B813A3">
        <w:rPr>
          <w:lang w:val="en-US"/>
        </w:rPr>
        <w:t xml:space="preserve">likely </w:t>
      </w:r>
      <w:r>
        <w:rPr>
          <w:lang w:val="en-US"/>
        </w:rPr>
        <w:t>be 3 based cell (re)selection and handover in Deployment-B.</w:t>
      </w:r>
    </w:p>
    <w:p w14:paraId="45DD93EA" w14:textId="77777777" w:rsidR="008B01EA" w:rsidRDefault="008B01EA" w:rsidP="008B01EA">
      <w:pPr>
        <w:rPr>
          <w:lang w:val="en-US"/>
        </w:rPr>
      </w:pPr>
    </w:p>
    <w:p w14:paraId="60805AFD" w14:textId="77777777" w:rsidR="008B01EA" w:rsidRDefault="008B01EA" w:rsidP="008B01EA">
      <w:pPr>
        <w:jc w:val="center"/>
        <w:rPr>
          <w:lang w:val="en-US"/>
        </w:rPr>
      </w:pPr>
      <w:r>
        <w:rPr>
          <w:noProof/>
          <w:lang w:val="en-US"/>
        </w:rPr>
        <w:drawing>
          <wp:inline distT="0" distB="0" distL="0" distR="0" wp14:anchorId="1A0E13D4" wp14:editId="291B7347">
            <wp:extent cx="4534377" cy="232011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7484" cy="2326825"/>
                    </a:xfrm>
                    <a:prstGeom prst="rect">
                      <a:avLst/>
                    </a:prstGeom>
                    <a:noFill/>
                  </pic:spPr>
                </pic:pic>
              </a:graphicData>
            </a:graphic>
          </wp:inline>
        </w:drawing>
      </w:r>
    </w:p>
    <w:p w14:paraId="372F73BA" w14:textId="77777777" w:rsidR="008B01EA" w:rsidRPr="00C902F2" w:rsidRDefault="008B01EA" w:rsidP="008B01EA">
      <w:pPr>
        <w:jc w:val="center"/>
        <w:rPr>
          <w:b/>
          <w:bCs/>
          <w:lang w:val="en-US"/>
        </w:rPr>
      </w:pPr>
      <w:r>
        <w:rPr>
          <w:b/>
          <w:bCs/>
          <w:lang w:val="en-US"/>
        </w:rPr>
        <w:t>Figure 1. An example of NTN Cell deployment with Frequency Reuse Factor of 7</w:t>
      </w:r>
    </w:p>
    <w:p w14:paraId="32777BEA" w14:textId="77777777" w:rsidR="008B01EA" w:rsidRDefault="008B01EA" w:rsidP="008B01EA">
      <w:pPr>
        <w:rPr>
          <w:lang w:val="en-US"/>
        </w:rPr>
      </w:pPr>
    </w:p>
    <w:p w14:paraId="2CD99594" w14:textId="77777777" w:rsidR="008B01EA" w:rsidRPr="004D4443" w:rsidRDefault="008B01EA" w:rsidP="008B01EA">
      <w:pPr>
        <w:tabs>
          <w:tab w:val="left" w:pos="567"/>
        </w:tabs>
        <w:snapToGrid w:val="0"/>
        <w:jc w:val="both"/>
        <w:rPr>
          <w:b/>
        </w:rPr>
      </w:pPr>
      <w:r>
        <w:rPr>
          <w:b/>
        </w:rPr>
        <w:t xml:space="preserve">Observation </w:t>
      </w:r>
      <w:r w:rsidRPr="004D4443">
        <w:rPr>
          <w:b/>
        </w:rPr>
        <w:t>1:</w:t>
      </w:r>
      <w:r>
        <w:rPr>
          <w:b/>
        </w:rPr>
        <w:t xml:space="preserve"> In NTN with frequency reuse factor larger than 1, inter-cell mobility under the same satellite </w:t>
      </w:r>
      <w:proofErr w:type="gramStart"/>
      <w:r>
        <w:rPr>
          <w:b/>
        </w:rPr>
        <w:t>can be seen as</w:t>
      </w:r>
      <w:proofErr w:type="gramEnd"/>
      <w:r>
        <w:rPr>
          <w:b/>
        </w:rPr>
        <w:t xml:space="preserve"> BWP switching based L1 mobility.</w:t>
      </w:r>
    </w:p>
    <w:p w14:paraId="324C12E0" w14:textId="66AF6D88" w:rsidR="008B01EA" w:rsidRDefault="008B01EA" w:rsidP="008B01EA">
      <w:pPr>
        <w:jc w:val="both"/>
      </w:pPr>
    </w:p>
    <w:p w14:paraId="5FB7F1AA" w14:textId="77777777" w:rsidR="008B493C" w:rsidRDefault="008B493C" w:rsidP="008B493C">
      <w:pPr>
        <w:tabs>
          <w:tab w:val="left" w:pos="567"/>
        </w:tabs>
        <w:snapToGrid w:val="0"/>
        <w:jc w:val="both"/>
        <w:rPr>
          <w:b/>
        </w:rPr>
      </w:pPr>
      <w:r w:rsidRPr="004D4443">
        <w:rPr>
          <w:b/>
        </w:rPr>
        <w:lastRenderedPageBreak/>
        <w:t xml:space="preserve">Proposal 1: </w:t>
      </w:r>
      <w:r>
        <w:rPr>
          <w:b/>
        </w:rPr>
        <w:t xml:space="preserve">RAN4 to discuss/determine </w:t>
      </w:r>
      <w:proofErr w:type="gramStart"/>
      <w:r>
        <w:rPr>
          <w:b/>
        </w:rPr>
        <w:t>whether or not</w:t>
      </w:r>
      <w:proofErr w:type="gramEnd"/>
      <w:r>
        <w:rPr>
          <w:b/>
        </w:rPr>
        <w:t xml:space="preserve"> inter-cell mobility requirements should be defined differently for the following cases based on RAN2 design:</w:t>
      </w:r>
    </w:p>
    <w:p w14:paraId="2EBEE2B2" w14:textId="77777777" w:rsidR="008B493C" w:rsidRDefault="008B493C" w:rsidP="008B493C">
      <w:pPr>
        <w:pStyle w:val="ListParagraph"/>
        <w:widowControl w:val="0"/>
        <w:numPr>
          <w:ilvl w:val="0"/>
          <w:numId w:val="1"/>
        </w:numPr>
        <w:tabs>
          <w:tab w:val="left" w:pos="567"/>
        </w:tabs>
        <w:snapToGrid w:val="0"/>
        <w:spacing w:after="0"/>
        <w:ind w:left="540" w:hanging="180"/>
        <w:contextualSpacing w:val="0"/>
        <w:jc w:val="both"/>
        <w:rPr>
          <w:b/>
        </w:rPr>
      </w:pPr>
      <w:r>
        <w:rPr>
          <w:b/>
        </w:rPr>
        <w:t xml:space="preserve">When a target cell belongs to the same satellite as a serving cell, e.g. it can be similar to L1 </w:t>
      </w:r>
      <w:proofErr w:type="gramStart"/>
      <w:r>
        <w:rPr>
          <w:b/>
        </w:rPr>
        <w:t>measurement based</w:t>
      </w:r>
      <w:proofErr w:type="gramEnd"/>
      <w:r>
        <w:rPr>
          <w:b/>
        </w:rPr>
        <w:t xml:space="preserve"> BWP switching</w:t>
      </w:r>
    </w:p>
    <w:p w14:paraId="6C0B9BA1" w14:textId="77777777" w:rsidR="008B493C" w:rsidRDefault="008B493C" w:rsidP="008B493C">
      <w:pPr>
        <w:pStyle w:val="ListParagraph"/>
        <w:widowControl w:val="0"/>
        <w:numPr>
          <w:ilvl w:val="0"/>
          <w:numId w:val="1"/>
        </w:numPr>
        <w:tabs>
          <w:tab w:val="left" w:pos="567"/>
        </w:tabs>
        <w:snapToGrid w:val="0"/>
        <w:spacing w:after="0"/>
        <w:ind w:left="540" w:hanging="180"/>
        <w:contextualSpacing w:val="0"/>
        <w:jc w:val="both"/>
        <w:rPr>
          <w:b/>
        </w:rPr>
      </w:pPr>
      <w:r>
        <w:rPr>
          <w:b/>
        </w:rPr>
        <w:t xml:space="preserve">When a target cell belongs to a different satellite from a serving satellite, e.g. it can be </w:t>
      </w:r>
      <w:proofErr w:type="gramStart"/>
      <w:r>
        <w:rPr>
          <w:b/>
        </w:rPr>
        <w:t>similar to</w:t>
      </w:r>
      <w:proofErr w:type="gramEnd"/>
      <w:r>
        <w:rPr>
          <w:b/>
        </w:rPr>
        <w:t xml:space="preserve"> legacy L3 measurement based inter-cell mobility</w:t>
      </w:r>
    </w:p>
    <w:p w14:paraId="7309F2E3" w14:textId="77777777" w:rsidR="008B493C" w:rsidRDefault="008B493C" w:rsidP="008B01EA">
      <w:pPr>
        <w:jc w:val="both"/>
      </w:pPr>
    </w:p>
    <w:p w14:paraId="2E99DD5B" w14:textId="63EDE4E4" w:rsidR="00D408D4" w:rsidRPr="001462AC" w:rsidRDefault="00D408D4" w:rsidP="00D408D4">
      <w:r>
        <w:t xml:space="preserve">In NTN, </w:t>
      </w:r>
      <w:r w:rsidR="007654D0">
        <w:t xml:space="preserve">as can be seen in Figure 1, </w:t>
      </w:r>
      <w:r>
        <w:t xml:space="preserve">SSBs of cells in a satellite </w:t>
      </w:r>
      <w:r w:rsidR="005078AB">
        <w:t xml:space="preserve">will likely </w:t>
      </w:r>
      <w:r>
        <w:t>arrive at a UE at the same time with the same frequency offset</w:t>
      </w:r>
      <w:r w:rsidR="005078AB">
        <w:t xml:space="preserve"> unless cell </w:t>
      </w:r>
      <w:r w:rsidR="00FD7050">
        <w:t xml:space="preserve">or beam-footprint </w:t>
      </w:r>
      <w:r w:rsidR="005078AB">
        <w:t>specific time/frequency pre-compensation is applied over the satellite</w:t>
      </w:r>
      <w:r>
        <w:t xml:space="preserve">. Therefore, UE may not </w:t>
      </w:r>
      <w:r w:rsidR="00FD7050">
        <w:t xml:space="preserve">always </w:t>
      </w:r>
      <w:r>
        <w:t xml:space="preserve">require </w:t>
      </w:r>
      <w:r w:rsidRPr="00AB7B4B">
        <w:t>exhaustive</w:t>
      </w:r>
      <w:r>
        <w:t xml:space="preserve"> cell search prior to measurement for the cells. Besides, when UE is close to the centre of beam footprint, UE may not need to perform neighbor cell measurements as frequently and </w:t>
      </w:r>
      <w:r w:rsidRPr="003F3F92">
        <w:t>exhaustively</w:t>
      </w:r>
      <w:r>
        <w:t xml:space="preserve"> as UE</w:t>
      </w:r>
      <w:r w:rsidR="00EA46CB">
        <w:t>s</w:t>
      </w:r>
      <w:r>
        <w:t xml:space="preserve"> at the edge of the beam footprint.</w:t>
      </w:r>
    </w:p>
    <w:p w14:paraId="370DB9F8" w14:textId="77777777" w:rsidR="001A58EC" w:rsidRDefault="001A58EC" w:rsidP="001A58EC">
      <w:pPr>
        <w:tabs>
          <w:tab w:val="left" w:pos="567"/>
        </w:tabs>
        <w:snapToGrid w:val="0"/>
        <w:jc w:val="both"/>
        <w:rPr>
          <w:b/>
        </w:rPr>
      </w:pPr>
      <w:r w:rsidRPr="004D4443">
        <w:rPr>
          <w:b/>
        </w:rPr>
        <w:t xml:space="preserve">Proposal </w:t>
      </w:r>
      <w:r>
        <w:rPr>
          <w:b/>
        </w:rPr>
        <w:t>2</w:t>
      </w:r>
      <w:r w:rsidRPr="004D4443">
        <w:rPr>
          <w:b/>
        </w:rPr>
        <w:t xml:space="preserve">: </w:t>
      </w:r>
      <w:r>
        <w:rPr>
          <w:b/>
        </w:rPr>
        <w:t>RAN4 to discuss/determine w</w:t>
      </w:r>
      <w:r w:rsidRPr="00FC6982">
        <w:rPr>
          <w:b/>
        </w:rPr>
        <w:t>hether to define same of different requirements in terms of the number of measurement cells for intra-satellite and inter-satellite, e.g. 7 cells for intra-satellite and 3 cells for inter-satellite, etc.</w:t>
      </w:r>
    </w:p>
    <w:p w14:paraId="24A4260E" w14:textId="77777777" w:rsidR="001A58EC" w:rsidRPr="00FC6982" w:rsidRDefault="001A58EC" w:rsidP="001A58EC">
      <w:pPr>
        <w:tabs>
          <w:tab w:val="left" w:pos="567"/>
        </w:tabs>
        <w:snapToGrid w:val="0"/>
        <w:jc w:val="both"/>
        <w:rPr>
          <w:b/>
        </w:rPr>
      </w:pPr>
      <w:r w:rsidRPr="004D4443">
        <w:rPr>
          <w:b/>
        </w:rPr>
        <w:t xml:space="preserve">Proposal </w:t>
      </w:r>
      <w:r>
        <w:rPr>
          <w:b/>
        </w:rPr>
        <w:t>3</w:t>
      </w:r>
      <w:r w:rsidRPr="004D4443">
        <w:rPr>
          <w:b/>
        </w:rPr>
        <w:t xml:space="preserve">: </w:t>
      </w:r>
      <w:r>
        <w:rPr>
          <w:b/>
        </w:rPr>
        <w:t>RAN4 to discuss/determine w</w:t>
      </w:r>
      <w:r w:rsidRPr="00FC6982">
        <w:rPr>
          <w:b/>
        </w:rPr>
        <w:t xml:space="preserve">hether to define </w:t>
      </w:r>
      <w:r>
        <w:rPr>
          <w:b/>
        </w:rPr>
        <w:t>l</w:t>
      </w:r>
      <w:r w:rsidRPr="00BA3CB0">
        <w:rPr>
          <w:b/>
        </w:rPr>
        <w:t>ocation</w:t>
      </w:r>
      <w:r>
        <w:rPr>
          <w:b/>
        </w:rPr>
        <w:t>-</w:t>
      </w:r>
      <w:r w:rsidRPr="00BA3CB0">
        <w:rPr>
          <w:b/>
        </w:rPr>
        <w:t xml:space="preserve"> and/or timer</w:t>
      </w:r>
      <w:r>
        <w:rPr>
          <w:b/>
        </w:rPr>
        <w:t>-</w:t>
      </w:r>
      <w:r w:rsidRPr="00BA3CB0">
        <w:rPr>
          <w:b/>
        </w:rPr>
        <w:t>based measurement relaxation, e.g. measurement interval can be relaxed when UE is close to the centre of beam footprint for GEO and/or non-GEO with at least earth-fixed cell</w:t>
      </w:r>
    </w:p>
    <w:p w14:paraId="437DF92B" w14:textId="48549B16" w:rsidR="00D408D4" w:rsidRDefault="00D408D4" w:rsidP="008B01EA">
      <w:pPr>
        <w:jc w:val="both"/>
      </w:pPr>
    </w:p>
    <w:p w14:paraId="2B7CF97D" w14:textId="51173FC4" w:rsidR="008B01EA" w:rsidRDefault="002078A6" w:rsidP="008B01EA">
      <w:pPr>
        <w:jc w:val="both"/>
      </w:pPr>
      <w:r>
        <w:t>F</w:t>
      </w:r>
      <w:r w:rsidR="008B01EA">
        <w:t xml:space="preserve">or inter-cell mobility support, </w:t>
      </w:r>
      <w:proofErr w:type="gramStart"/>
      <w:r w:rsidR="008B01EA">
        <w:t>whether or not</w:t>
      </w:r>
      <w:proofErr w:type="gramEnd"/>
      <w:r w:rsidR="008B01EA">
        <w:t xml:space="preserve"> UE has to be always configured with a measurement gap for </w:t>
      </w:r>
      <w:r w:rsidR="008B01EA" w:rsidRPr="00B73FF6">
        <w:t xml:space="preserve">neighbor </w:t>
      </w:r>
      <w:r w:rsidR="008B01EA">
        <w:t>cell measurement and measurement gap length/</w:t>
      </w:r>
      <w:r w:rsidR="008B01EA" w:rsidRPr="000F18E7">
        <w:t>repetition</w:t>
      </w:r>
      <w:r w:rsidR="008B01EA">
        <w:t>-</w:t>
      </w:r>
      <w:r w:rsidR="008B01EA" w:rsidRPr="000F18E7">
        <w:t xml:space="preserve">period </w:t>
      </w:r>
      <w:r w:rsidR="008B01EA">
        <w:t>may depend on frequency reused factor.</w:t>
      </w:r>
      <w:r w:rsidR="00C12B75">
        <w:t xml:space="preserve"> In RAN2, NTN specific SMTC and Measurement Gap details are still under discussion.</w:t>
      </w:r>
    </w:p>
    <w:p w14:paraId="0D2CEF70" w14:textId="5B8875E2" w:rsidR="00604C26" w:rsidRDefault="00DB4775" w:rsidP="00DB4775">
      <w:pPr>
        <w:ind w:firstLine="360"/>
      </w:pPr>
      <w:r>
        <w:t>[</w:t>
      </w:r>
      <w:r w:rsidR="00B57F13" w:rsidRPr="00B57F13">
        <w:t xml:space="preserve">RAN2#113bis </w:t>
      </w:r>
      <w:r w:rsidR="00180D26">
        <w:t>e-</w:t>
      </w:r>
      <w:r w:rsidR="00B57F13" w:rsidRPr="00B57F13">
        <w:t>meeting</w:t>
      </w:r>
      <w:r>
        <w:t>]</w:t>
      </w:r>
    </w:p>
    <w:p w14:paraId="54432059" w14:textId="4F021119" w:rsidR="00D81391" w:rsidRDefault="00D81391" w:rsidP="005F5ACA">
      <w:pPr>
        <w:pStyle w:val="ListParagraph"/>
        <w:numPr>
          <w:ilvl w:val="0"/>
          <w:numId w:val="11"/>
        </w:numPr>
      </w:pPr>
      <w:r>
        <w:t xml:space="preserve">For Rel-17 NTN, Rel-17 NR operation is </w:t>
      </w:r>
      <w:r w:rsidRPr="00B427A7">
        <w:rPr>
          <w:b/>
          <w:bCs/>
          <w:color w:val="4472C4" w:themeColor="accent1"/>
        </w:rPr>
        <w:t>enhanced</w:t>
      </w:r>
      <w:r w:rsidRPr="00B427A7">
        <w:rPr>
          <w:color w:val="4472C4" w:themeColor="accent1"/>
        </w:rPr>
        <w:t xml:space="preserve"> </w:t>
      </w:r>
      <w:r>
        <w:t xml:space="preserve">(e.g. the </w:t>
      </w:r>
      <w:r w:rsidRPr="00B427A7">
        <w:rPr>
          <w:b/>
          <w:bCs/>
          <w:color w:val="4472C4" w:themeColor="accent1"/>
        </w:rPr>
        <w:t>SMTC configuration</w:t>
      </w:r>
      <w:r w:rsidRPr="00B427A7">
        <w:rPr>
          <w:color w:val="4472C4" w:themeColor="accent1"/>
        </w:rPr>
        <w:t xml:space="preserve"> </w:t>
      </w:r>
      <w:r>
        <w:t xml:space="preserve">and </w:t>
      </w:r>
      <w:r w:rsidRPr="00B427A7">
        <w:rPr>
          <w:b/>
          <w:bCs/>
          <w:color w:val="4472C4" w:themeColor="accent1"/>
        </w:rPr>
        <w:t xml:space="preserve">UE measurement gap </w:t>
      </w:r>
      <w:r w:rsidR="00CD1106" w:rsidRPr="00B427A7">
        <w:rPr>
          <w:b/>
          <w:bCs/>
          <w:color w:val="4472C4" w:themeColor="accent1"/>
        </w:rPr>
        <w:t>c</w:t>
      </w:r>
      <w:r w:rsidRPr="00B427A7">
        <w:rPr>
          <w:b/>
          <w:bCs/>
          <w:color w:val="4472C4" w:themeColor="accent1"/>
        </w:rPr>
        <w:t>onfiguration</w:t>
      </w:r>
      <w:r>
        <w:t xml:space="preserve">) aiming to address the issues associated with the </w:t>
      </w:r>
      <w:r w:rsidRPr="00B427A7">
        <w:rPr>
          <w:b/>
          <w:bCs/>
          <w:color w:val="4472C4" w:themeColor="accent1"/>
        </w:rPr>
        <w:t>different/larger propagation delays</w:t>
      </w:r>
      <w:r>
        <w:t>, and the satellites (considering e.g. their deployment, mobility, height, minimum elevation and prioritizing typical NTN scenarios).</w:t>
      </w:r>
    </w:p>
    <w:p w14:paraId="2E3CD890" w14:textId="01E34FA8" w:rsidR="00D81391" w:rsidRDefault="00D81391" w:rsidP="005F5ACA">
      <w:pPr>
        <w:pStyle w:val="ListParagraph"/>
        <w:numPr>
          <w:ilvl w:val="0"/>
          <w:numId w:val="11"/>
        </w:numPr>
      </w:pPr>
      <w:r>
        <w:t xml:space="preserve">Rel-17 NTN </w:t>
      </w:r>
      <w:r w:rsidRPr="00B427A7">
        <w:rPr>
          <w:b/>
          <w:bCs/>
          <w:color w:val="4472C4" w:themeColor="accent1"/>
        </w:rPr>
        <w:t>will not rely only on network implementation</w:t>
      </w:r>
      <w:r w:rsidRPr="00B427A7">
        <w:rPr>
          <w:color w:val="4472C4" w:themeColor="accent1"/>
        </w:rPr>
        <w:t xml:space="preserve"> </w:t>
      </w:r>
      <w:r>
        <w:t>to address the issue explained in agreement 1.</w:t>
      </w:r>
    </w:p>
    <w:p w14:paraId="6F4CEB2B" w14:textId="17C03B63" w:rsidR="00D81391" w:rsidRDefault="00D81391" w:rsidP="005F5ACA">
      <w:pPr>
        <w:pStyle w:val="ListParagraph"/>
        <w:numPr>
          <w:ilvl w:val="0"/>
          <w:numId w:val="11"/>
        </w:numPr>
      </w:pPr>
      <w:r w:rsidRPr="00B427A7">
        <w:rPr>
          <w:b/>
          <w:bCs/>
          <w:color w:val="4472C4" w:themeColor="accent1"/>
        </w:rPr>
        <w:t>Enhancements of the SMTC configuration</w:t>
      </w:r>
      <w:r w:rsidRPr="00B427A7">
        <w:rPr>
          <w:color w:val="4472C4" w:themeColor="accent1"/>
        </w:rPr>
        <w:t xml:space="preserve"> </w:t>
      </w:r>
      <w:r>
        <w:t>is supported for Rel-17 NTN.</w:t>
      </w:r>
    </w:p>
    <w:p w14:paraId="74E6CF2C" w14:textId="23E20202" w:rsidR="00D81391" w:rsidRDefault="00D81391" w:rsidP="005F5ACA">
      <w:pPr>
        <w:pStyle w:val="ListParagraph"/>
        <w:numPr>
          <w:ilvl w:val="0"/>
          <w:numId w:val="11"/>
        </w:numPr>
      </w:pPr>
      <w:r>
        <w:t xml:space="preserve">Optional </w:t>
      </w:r>
      <w:r w:rsidRPr="00B427A7">
        <w:rPr>
          <w:b/>
          <w:bCs/>
          <w:color w:val="4472C4" w:themeColor="accent1"/>
        </w:rPr>
        <w:t>new UE assistance</w:t>
      </w:r>
      <w:r w:rsidRPr="00B427A7">
        <w:rPr>
          <w:color w:val="4472C4" w:themeColor="accent1"/>
        </w:rPr>
        <w:t xml:space="preserve"> </w:t>
      </w:r>
      <w:r>
        <w:t xml:space="preserve">is defined in Rel-17 NTN for network </w:t>
      </w:r>
      <w:r w:rsidRPr="00B427A7">
        <w:rPr>
          <w:b/>
          <w:bCs/>
          <w:color w:val="4472C4" w:themeColor="accent1"/>
        </w:rPr>
        <w:t>to properly (re)configure the SMTC and/or measurement gap</w:t>
      </w:r>
    </w:p>
    <w:p w14:paraId="55A6C33E" w14:textId="1EC2404D" w:rsidR="00D81391" w:rsidRDefault="00D81391" w:rsidP="005F5ACA">
      <w:pPr>
        <w:pStyle w:val="ListParagraph"/>
        <w:numPr>
          <w:ilvl w:val="0"/>
          <w:numId w:val="11"/>
        </w:numPr>
      </w:pPr>
      <w:r>
        <w:t xml:space="preserve">For Rel-17 NTN, </w:t>
      </w:r>
      <w:r w:rsidRPr="00B427A7">
        <w:rPr>
          <w:b/>
          <w:bCs/>
          <w:color w:val="4472C4" w:themeColor="accent1"/>
        </w:rPr>
        <w:t>one or more SMTC configuration(s) associated to one frequency</w:t>
      </w:r>
      <w:r w:rsidRPr="00B427A7">
        <w:rPr>
          <w:color w:val="4472C4" w:themeColor="accent1"/>
        </w:rPr>
        <w:t xml:space="preserve"> </w:t>
      </w:r>
      <w:r>
        <w:t>can be configured. FFS solution details.</w:t>
      </w:r>
    </w:p>
    <w:p w14:paraId="799D0FE4" w14:textId="6EAC3D00" w:rsidR="00D81391" w:rsidRDefault="00D81391" w:rsidP="005F5ACA">
      <w:pPr>
        <w:pStyle w:val="ListParagraph"/>
        <w:numPr>
          <w:ilvl w:val="0"/>
          <w:numId w:val="9"/>
        </w:numPr>
        <w:ind w:left="1080" w:hanging="360"/>
      </w:pPr>
      <w:r>
        <w:t xml:space="preserve">The SMTC configuration can be associated with a set of cells (e.g., </w:t>
      </w:r>
      <w:r w:rsidRPr="00B427A7">
        <w:rPr>
          <w:b/>
          <w:bCs/>
          <w:color w:val="4472C4" w:themeColor="accent1"/>
        </w:rPr>
        <w:t>per satellite</w:t>
      </w:r>
      <w:r w:rsidRPr="00B427A7">
        <w:rPr>
          <w:color w:val="4472C4" w:themeColor="accent1"/>
        </w:rPr>
        <w:t xml:space="preserve"> </w:t>
      </w:r>
      <w:r>
        <w:t xml:space="preserve">or any other suitable set </w:t>
      </w:r>
      <w:r w:rsidRPr="00B427A7">
        <w:rPr>
          <w:b/>
          <w:bCs/>
          <w:color w:val="4472C4" w:themeColor="accent1"/>
        </w:rPr>
        <w:t>per gNB</w:t>
      </w:r>
      <w:r w:rsidRPr="00B427A7">
        <w:rPr>
          <w:color w:val="4472C4" w:themeColor="accent1"/>
        </w:rPr>
        <w:t xml:space="preserve"> </w:t>
      </w:r>
      <w:r>
        <w:t>determination).</w:t>
      </w:r>
    </w:p>
    <w:p w14:paraId="19778D06" w14:textId="04599E27" w:rsidR="00D81391" w:rsidRDefault="00D81391" w:rsidP="005F5ACA">
      <w:pPr>
        <w:pStyle w:val="ListParagraph"/>
        <w:numPr>
          <w:ilvl w:val="0"/>
          <w:numId w:val="9"/>
        </w:numPr>
        <w:ind w:left="1080" w:hanging="360"/>
      </w:pPr>
      <w:r>
        <w:t xml:space="preserve">The </w:t>
      </w:r>
      <w:r w:rsidRPr="00B427A7">
        <w:rPr>
          <w:b/>
          <w:bCs/>
          <w:color w:val="4472C4" w:themeColor="accent1"/>
        </w:rPr>
        <w:t>multiple SMTC configurations</w:t>
      </w:r>
      <w:r w:rsidRPr="00B427A7">
        <w:rPr>
          <w:color w:val="4472C4" w:themeColor="accent1"/>
        </w:rPr>
        <w:t xml:space="preserve"> </w:t>
      </w:r>
      <w:r>
        <w:t xml:space="preserve">are enabled by introducing </w:t>
      </w:r>
      <w:r w:rsidRPr="00B427A7">
        <w:rPr>
          <w:b/>
          <w:bCs/>
          <w:color w:val="4472C4" w:themeColor="accent1"/>
        </w:rPr>
        <w:t>different new offsets</w:t>
      </w:r>
      <w:r w:rsidRPr="00B427A7">
        <w:rPr>
          <w:color w:val="4472C4" w:themeColor="accent1"/>
        </w:rPr>
        <w:t xml:space="preserve"> </w:t>
      </w:r>
      <w:r>
        <w:t>in addition to the legacy SMTC configuration. FFS how the offsets will be managed/signalled.</w:t>
      </w:r>
    </w:p>
    <w:p w14:paraId="1A69E7F0" w14:textId="77777777" w:rsidR="00D81391" w:rsidRDefault="00D81391" w:rsidP="005F5ACA">
      <w:pPr>
        <w:pStyle w:val="ListParagraph"/>
        <w:numPr>
          <w:ilvl w:val="1"/>
          <w:numId w:val="8"/>
        </w:numPr>
        <w:ind w:left="1080"/>
      </w:pPr>
      <w:r>
        <w:t xml:space="preserve">FFS the following </w:t>
      </w:r>
      <w:r w:rsidRPr="00B427A7">
        <w:rPr>
          <w:b/>
          <w:bCs/>
          <w:color w:val="4472C4" w:themeColor="accent1"/>
        </w:rPr>
        <w:t>open questions</w:t>
      </w:r>
      <w:r>
        <w:t xml:space="preserve">: </w:t>
      </w:r>
    </w:p>
    <w:p w14:paraId="6BF3A3F9" w14:textId="0EE2C559" w:rsidR="00D81391" w:rsidRDefault="00D81391" w:rsidP="005F5ACA">
      <w:pPr>
        <w:pStyle w:val="ListParagraph"/>
        <w:numPr>
          <w:ilvl w:val="1"/>
          <w:numId w:val="10"/>
        </w:numPr>
      </w:pPr>
      <w:r>
        <w:t xml:space="preserve">can the UE be configured with </w:t>
      </w:r>
      <w:r w:rsidRPr="00B427A7">
        <w:rPr>
          <w:b/>
          <w:bCs/>
          <w:color w:val="4472C4" w:themeColor="accent1"/>
        </w:rPr>
        <w:t>multiple SMTCs per carrier</w:t>
      </w:r>
      <w:r w:rsidRPr="00B427A7">
        <w:rPr>
          <w:color w:val="4472C4" w:themeColor="accent1"/>
        </w:rPr>
        <w:t xml:space="preserve"> </w:t>
      </w:r>
      <w:r>
        <w:t xml:space="preserve">and use them </w:t>
      </w:r>
      <w:r w:rsidRPr="00B427A7">
        <w:rPr>
          <w:b/>
          <w:bCs/>
          <w:color w:val="4472C4" w:themeColor="accent1"/>
        </w:rPr>
        <w:t>all in parallel</w:t>
      </w:r>
      <w:r>
        <w:t>?</w:t>
      </w:r>
    </w:p>
    <w:p w14:paraId="7CE673BA" w14:textId="79F7484F" w:rsidR="00D81391" w:rsidRDefault="00D81391" w:rsidP="005F5ACA">
      <w:pPr>
        <w:pStyle w:val="ListParagraph"/>
        <w:numPr>
          <w:ilvl w:val="1"/>
          <w:numId w:val="10"/>
        </w:numPr>
      </w:pPr>
      <w:r w:rsidRPr="00B427A7">
        <w:rPr>
          <w:b/>
          <w:bCs/>
          <w:color w:val="4472C4" w:themeColor="accent1"/>
        </w:rPr>
        <w:t>How the NW knows</w:t>
      </w:r>
      <w:r w:rsidRPr="00B427A7">
        <w:rPr>
          <w:color w:val="4472C4" w:themeColor="accent1"/>
        </w:rPr>
        <w:t xml:space="preserve"> </w:t>
      </w:r>
      <w:r>
        <w:t xml:space="preserve">which SMTC (incl. offsets/periodicity, etc.) is relevant for a particular UE? </w:t>
      </w:r>
    </w:p>
    <w:p w14:paraId="2FF2928B" w14:textId="3E5E03F6" w:rsidR="00D81391" w:rsidRDefault="00D81391" w:rsidP="005F5ACA">
      <w:pPr>
        <w:pStyle w:val="ListParagraph"/>
        <w:numPr>
          <w:ilvl w:val="1"/>
          <w:numId w:val="10"/>
        </w:numPr>
      </w:pPr>
      <w:r>
        <w:t xml:space="preserve">Is there any </w:t>
      </w:r>
      <w:r w:rsidRPr="00B427A7">
        <w:rPr>
          <w:b/>
          <w:bCs/>
          <w:color w:val="4472C4" w:themeColor="accent1"/>
        </w:rPr>
        <w:t>validity</w:t>
      </w:r>
      <w:r>
        <w:t>: in time or for certain location only, foreseen in such multiple SMTC configuration?</w:t>
      </w:r>
    </w:p>
    <w:p w14:paraId="07ECAE99" w14:textId="3BE0DBBE" w:rsidR="00D81391" w:rsidRDefault="00D81391" w:rsidP="005F5ACA">
      <w:pPr>
        <w:pStyle w:val="ListParagraph"/>
        <w:numPr>
          <w:ilvl w:val="1"/>
          <w:numId w:val="10"/>
        </w:numPr>
      </w:pPr>
      <w:r>
        <w:t>What is the potential impact on the signalling, assuming this delay is a dynamic value?</w:t>
      </w:r>
    </w:p>
    <w:p w14:paraId="1DF2DDBB" w14:textId="524CAB27" w:rsidR="00D81391" w:rsidRDefault="00D81391" w:rsidP="005F5ACA">
      <w:pPr>
        <w:pStyle w:val="ListParagraph"/>
        <w:numPr>
          <w:ilvl w:val="1"/>
          <w:numId w:val="10"/>
        </w:numPr>
      </w:pPr>
      <w:r>
        <w:t xml:space="preserve">What about the </w:t>
      </w:r>
      <w:r w:rsidRPr="00B427A7">
        <w:rPr>
          <w:b/>
          <w:bCs/>
          <w:color w:val="4472C4" w:themeColor="accent1"/>
        </w:rPr>
        <w:t>feeder link delay</w:t>
      </w:r>
      <w:r>
        <w:t>? Is it considered anywhere?</w:t>
      </w:r>
    </w:p>
    <w:p w14:paraId="0931009D" w14:textId="3D2C3A64" w:rsidR="00D81391" w:rsidRDefault="00D81391" w:rsidP="005F5ACA">
      <w:pPr>
        <w:pStyle w:val="ListParagraph"/>
        <w:numPr>
          <w:ilvl w:val="0"/>
          <w:numId w:val="11"/>
        </w:numPr>
      </w:pPr>
      <w:r>
        <w:t>The configuration of one or multiple offsets is left up to the network implementation.</w:t>
      </w:r>
    </w:p>
    <w:p w14:paraId="37F14AEC" w14:textId="1109E53B" w:rsidR="00D81391" w:rsidRDefault="00D81391" w:rsidP="005F5ACA">
      <w:pPr>
        <w:pStyle w:val="ListParagraph"/>
        <w:numPr>
          <w:ilvl w:val="0"/>
          <w:numId w:val="11"/>
        </w:numPr>
      </w:pPr>
      <w:r>
        <w:t>It is up to network to update the SMTC configuration of the UE to accommodate the different propagation delays.</w:t>
      </w:r>
    </w:p>
    <w:p w14:paraId="7E11AA5E" w14:textId="318B909B" w:rsidR="00B57F13" w:rsidRDefault="00D81391" w:rsidP="005F5ACA">
      <w:pPr>
        <w:pStyle w:val="ListParagraph"/>
        <w:numPr>
          <w:ilvl w:val="0"/>
          <w:numId w:val="11"/>
        </w:numPr>
      </w:pPr>
      <w:r w:rsidRPr="00B427A7">
        <w:rPr>
          <w:b/>
          <w:bCs/>
          <w:color w:val="4472C4" w:themeColor="accent1"/>
        </w:rPr>
        <w:t>Measurement gaps enhancements</w:t>
      </w:r>
      <w:r w:rsidRPr="00B427A7">
        <w:rPr>
          <w:color w:val="4472C4" w:themeColor="accent1"/>
        </w:rPr>
        <w:t xml:space="preserve"> </w:t>
      </w:r>
      <w:r>
        <w:t>should be supported. FFS on the details</w:t>
      </w:r>
    </w:p>
    <w:p w14:paraId="52656B2B" w14:textId="757D6955" w:rsidR="00B57F13" w:rsidRDefault="00EB0ADF" w:rsidP="00866E3E">
      <w:r>
        <w:t xml:space="preserve">In addition, </w:t>
      </w:r>
      <w:r w:rsidR="00A14F6A">
        <w:t>RAN2 has been developing NTN specific conditional handover mechanisms because L3 measurement based legacy inter-cell handover and/or re-selection will likely be less efficient in terms of latency and precise optimization due to near-far effects.</w:t>
      </w:r>
      <w:r w:rsidR="00D27AA2">
        <w:t xml:space="preserve"> </w:t>
      </w:r>
    </w:p>
    <w:p w14:paraId="5D9FC264" w14:textId="256408B6" w:rsidR="007459CB" w:rsidRPr="00DB4775" w:rsidRDefault="00254B08" w:rsidP="007459CB">
      <w:pPr>
        <w:rPr>
          <w:u w:val="single"/>
        </w:rPr>
      </w:pPr>
      <w:r>
        <w:rPr>
          <w:u w:val="single"/>
        </w:rPr>
        <w:t>Conditional Handover</w:t>
      </w:r>
    </w:p>
    <w:p w14:paraId="54F167C5" w14:textId="756DA443" w:rsidR="007459CB" w:rsidRDefault="007459CB" w:rsidP="007459CB">
      <w:pPr>
        <w:ind w:firstLine="360"/>
      </w:pPr>
      <w:r>
        <w:t>[</w:t>
      </w:r>
      <w:r w:rsidR="007B4F28">
        <w:t>RAN2#112</w:t>
      </w:r>
      <w:r w:rsidR="00180D26">
        <w:t xml:space="preserve"> </w:t>
      </w:r>
      <w:r w:rsidR="007B4F28">
        <w:t>e</w:t>
      </w:r>
      <w:r w:rsidR="00180D26">
        <w:t>-</w:t>
      </w:r>
      <w:r w:rsidR="007B4F28">
        <w:t>meeting</w:t>
      </w:r>
      <w:r>
        <w:t>]</w:t>
      </w:r>
    </w:p>
    <w:p w14:paraId="0B04B728" w14:textId="0CD349FB" w:rsidR="00C12946" w:rsidRDefault="00C12946" w:rsidP="005F5ACA">
      <w:pPr>
        <w:pStyle w:val="ListParagraph"/>
        <w:numPr>
          <w:ilvl w:val="0"/>
          <w:numId w:val="12"/>
        </w:numPr>
      </w:pPr>
      <w:r>
        <w:t>Reconfiguration with sync is the baseline for connected mode mobility in NTN (the use of legacy RLF and re-establishment mechanism are not excluded)</w:t>
      </w:r>
    </w:p>
    <w:p w14:paraId="4EF32451" w14:textId="20C9C986" w:rsidR="00C12946" w:rsidRDefault="00C12946" w:rsidP="005F5ACA">
      <w:pPr>
        <w:pStyle w:val="ListParagraph"/>
        <w:numPr>
          <w:ilvl w:val="0"/>
          <w:numId w:val="12"/>
        </w:numPr>
      </w:pPr>
      <w:r>
        <w:t xml:space="preserve">The CHO can be used in NTN for both moving cell and fixed cell scenarios, and the CHO procedure and execution condition defined in Rel-16 is the baseline for NTN CHO. </w:t>
      </w:r>
    </w:p>
    <w:p w14:paraId="60C50666" w14:textId="7844DB04" w:rsidR="00C12946" w:rsidRDefault="00C12946" w:rsidP="005F5ACA">
      <w:pPr>
        <w:pStyle w:val="ListParagraph"/>
        <w:numPr>
          <w:ilvl w:val="0"/>
          <w:numId w:val="12"/>
        </w:numPr>
      </w:pPr>
      <w:r w:rsidRPr="00D52AA7">
        <w:rPr>
          <w:b/>
          <w:bCs/>
          <w:color w:val="4472C4" w:themeColor="accent1"/>
        </w:rPr>
        <w:t>NTN specific CHO execution condition</w:t>
      </w:r>
      <w:r w:rsidRPr="00BF2402">
        <w:rPr>
          <w:color w:val="4472C4" w:themeColor="accent1"/>
        </w:rPr>
        <w:t xml:space="preserve"> </w:t>
      </w:r>
      <w:r>
        <w:t>can be further discussed.</w:t>
      </w:r>
    </w:p>
    <w:p w14:paraId="01936222" w14:textId="04931148" w:rsidR="00C12946" w:rsidRDefault="00C12946" w:rsidP="005F5ACA">
      <w:pPr>
        <w:pStyle w:val="ListParagraph"/>
        <w:numPr>
          <w:ilvl w:val="0"/>
          <w:numId w:val="12"/>
        </w:numPr>
      </w:pPr>
      <w:r w:rsidRPr="00D52AA7">
        <w:rPr>
          <w:b/>
          <w:bCs/>
          <w:color w:val="4472C4" w:themeColor="accent1"/>
        </w:rPr>
        <w:t xml:space="preserve">Time or </w:t>
      </w:r>
      <w:proofErr w:type="gramStart"/>
      <w:r w:rsidRPr="00D52AA7">
        <w:rPr>
          <w:b/>
          <w:bCs/>
          <w:color w:val="4472C4" w:themeColor="accent1"/>
        </w:rPr>
        <w:t>timer based</w:t>
      </w:r>
      <w:proofErr w:type="gramEnd"/>
      <w:r w:rsidRPr="00D52AA7">
        <w:rPr>
          <w:b/>
          <w:bCs/>
          <w:color w:val="4472C4" w:themeColor="accent1"/>
        </w:rPr>
        <w:t xml:space="preserve"> CHO triggering event</w:t>
      </w:r>
      <w:r>
        <w:t xml:space="preserve">, in combination with the existing R16 CHO measurement based event, should be introduced for both moving cell and fixed cell scenario.  FFS on how to configure the time or </w:t>
      </w:r>
      <w:proofErr w:type="gramStart"/>
      <w:r>
        <w:t>timer based</w:t>
      </w:r>
      <w:proofErr w:type="gramEnd"/>
      <w:r>
        <w:t xml:space="preserve"> CHO triggering event. </w:t>
      </w:r>
      <w:proofErr w:type="gramStart"/>
      <w:r>
        <w:t>Also</w:t>
      </w:r>
      <w:proofErr w:type="gramEnd"/>
      <w:r>
        <w:t xml:space="preserve"> FFS how to consider the feeder/service link switch timing. </w:t>
      </w:r>
    </w:p>
    <w:p w14:paraId="2C953CCA" w14:textId="190AAF21" w:rsidR="00604C26" w:rsidRDefault="00C12946" w:rsidP="005F5ACA">
      <w:pPr>
        <w:pStyle w:val="ListParagraph"/>
        <w:numPr>
          <w:ilvl w:val="0"/>
          <w:numId w:val="12"/>
        </w:numPr>
      </w:pPr>
      <w:r w:rsidRPr="00D52AA7">
        <w:rPr>
          <w:b/>
          <w:bCs/>
          <w:color w:val="4472C4" w:themeColor="accent1"/>
        </w:rPr>
        <w:t>Location based CHO triggering event</w:t>
      </w:r>
      <w:r>
        <w:t xml:space="preserve">, in combination with the existing R16 CHO </w:t>
      </w:r>
      <w:proofErr w:type="gramStart"/>
      <w:r>
        <w:t>measurement based</w:t>
      </w:r>
      <w:proofErr w:type="gramEnd"/>
      <w:r>
        <w:t xml:space="preserve"> event, should be introduced for both moving cell and fixed cell scenario. FFS on how to configure the </w:t>
      </w:r>
      <w:proofErr w:type="gramStart"/>
      <w:r>
        <w:t>location based</w:t>
      </w:r>
      <w:proofErr w:type="gramEnd"/>
      <w:r>
        <w:t xml:space="preserve"> CHO triggering event. FFS if </w:t>
      </w:r>
      <w:proofErr w:type="gramStart"/>
      <w:r>
        <w:t>location based</w:t>
      </w:r>
      <w:proofErr w:type="gramEnd"/>
      <w:r>
        <w:t xml:space="preserve"> CHO triggering event only (not in combination with other events) can also be considered.</w:t>
      </w:r>
    </w:p>
    <w:p w14:paraId="468DF692" w14:textId="173AC1A1" w:rsidR="007B4F28" w:rsidRDefault="007B4F28" w:rsidP="007B4F28">
      <w:pPr>
        <w:ind w:firstLine="360"/>
      </w:pPr>
      <w:r>
        <w:t>[RAN2#11</w:t>
      </w:r>
      <w:r w:rsidR="00936991">
        <w:t>3</w:t>
      </w:r>
      <w:r w:rsidR="00180D26">
        <w:t xml:space="preserve"> </w:t>
      </w:r>
      <w:r>
        <w:t>e</w:t>
      </w:r>
      <w:r w:rsidR="00180D26">
        <w:t>-</w:t>
      </w:r>
      <w:r>
        <w:t>meeting]</w:t>
      </w:r>
    </w:p>
    <w:p w14:paraId="1408842A" w14:textId="2B7C3609" w:rsidR="007B4F28" w:rsidRDefault="00730986" w:rsidP="005F5ACA">
      <w:pPr>
        <w:pStyle w:val="ListParagraph"/>
        <w:numPr>
          <w:ilvl w:val="0"/>
          <w:numId w:val="13"/>
        </w:numPr>
      </w:pPr>
      <w:r w:rsidRPr="00730986">
        <w:t xml:space="preserve">Support </w:t>
      </w:r>
      <w:r w:rsidRPr="00D52AA7">
        <w:rPr>
          <w:b/>
          <w:bCs/>
          <w:color w:val="4472C4" w:themeColor="accent1"/>
        </w:rPr>
        <w:t>A4 event for NTN CHO</w:t>
      </w:r>
      <w:r w:rsidRPr="00730986">
        <w:t>. FFS whether other triggers need to be combined with this.</w:t>
      </w:r>
    </w:p>
    <w:p w14:paraId="3B8CADE1" w14:textId="0E05EE18" w:rsidR="007B4F28" w:rsidRDefault="007B4F28" w:rsidP="007B4F28">
      <w:pPr>
        <w:ind w:firstLine="360"/>
      </w:pPr>
      <w:r>
        <w:t>[RAN2#11</w:t>
      </w:r>
      <w:r w:rsidR="00936991">
        <w:t>3bis</w:t>
      </w:r>
      <w:r w:rsidR="00180D26">
        <w:t xml:space="preserve"> </w:t>
      </w:r>
      <w:r>
        <w:t>e</w:t>
      </w:r>
      <w:r w:rsidR="00180D26">
        <w:t>-</w:t>
      </w:r>
      <w:r>
        <w:t>meeting]</w:t>
      </w:r>
    </w:p>
    <w:p w14:paraId="58EC79E7" w14:textId="77777777" w:rsidR="005F5ACA" w:rsidRDefault="005F5ACA" w:rsidP="005F5ACA">
      <w:pPr>
        <w:pStyle w:val="ListParagraph"/>
        <w:numPr>
          <w:ilvl w:val="0"/>
          <w:numId w:val="14"/>
        </w:numPr>
      </w:pPr>
      <w:r>
        <w:t xml:space="preserve">Timing information in CHO execution triggering for NTN describes the time after which the UE </w:t>
      </w:r>
      <w:proofErr w:type="gramStart"/>
      <w:r>
        <w:t>is allowed to</w:t>
      </w:r>
      <w:proofErr w:type="gramEnd"/>
      <w:r>
        <w:t xml:space="preserve"> execute CHO to the candidate target cell.</w:t>
      </w:r>
    </w:p>
    <w:p w14:paraId="030D89AF" w14:textId="3B6CB616" w:rsidR="005F5ACA" w:rsidRDefault="005F5ACA" w:rsidP="005F5ACA">
      <w:pPr>
        <w:pStyle w:val="ListParagraph"/>
        <w:numPr>
          <w:ilvl w:val="0"/>
          <w:numId w:val="14"/>
        </w:numPr>
      </w:pPr>
      <w:r>
        <w:t xml:space="preserve">Working assumption: the </w:t>
      </w:r>
      <w:r w:rsidRPr="00D52AA7">
        <w:rPr>
          <w:b/>
          <w:bCs/>
          <w:color w:val="4472C4" w:themeColor="accent1"/>
        </w:rPr>
        <w:t>timing information for CHO execution triggering</w:t>
      </w:r>
      <w:r w:rsidRPr="00140A06">
        <w:rPr>
          <w:color w:val="4472C4" w:themeColor="accent1"/>
        </w:rPr>
        <w:t xml:space="preserve"> </w:t>
      </w:r>
      <w:r>
        <w:t xml:space="preserve">in NTN is defined in the form of a timer/timers. This can be </w:t>
      </w:r>
      <w:proofErr w:type="gramStart"/>
      <w:r>
        <w:t>revised</w:t>
      </w:r>
      <w:proofErr w:type="gramEnd"/>
      <w:r>
        <w:t xml:space="preserve"> and a solution based on UTC/system frame number can be considered if problems are found (e.g. if the timer lacks accuracy due to RTT in NTN).</w:t>
      </w:r>
    </w:p>
    <w:p w14:paraId="5C8D80A2" w14:textId="54924122" w:rsidR="007B4F28" w:rsidRDefault="005F5ACA" w:rsidP="005F5ACA">
      <w:pPr>
        <w:pStyle w:val="ListParagraph"/>
        <w:numPr>
          <w:ilvl w:val="0"/>
          <w:numId w:val="14"/>
        </w:numPr>
      </w:pPr>
      <w:r>
        <w:t xml:space="preserve">The </w:t>
      </w:r>
      <w:r w:rsidRPr="00D52AA7">
        <w:rPr>
          <w:b/>
          <w:bCs/>
          <w:color w:val="4472C4" w:themeColor="accent1"/>
        </w:rPr>
        <w:t>location in location-based CHO execution triggering</w:t>
      </w:r>
      <w:r w:rsidRPr="00140A06">
        <w:rPr>
          <w:color w:val="4472C4" w:themeColor="accent1"/>
        </w:rPr>
        <w:t xml:space="preserve"> </w:t>
      </w:r>
      <w:r>
        <w:t>for NTN describes the distance between the UE and the reference location of the cell (serving cell or the target cell). FFS what the reference location of the cell is (e.g cell center or other) and how this is provided to the UE</w:t>
      </w:r>
    </w:p>
    <w:p w14:paraId="45902952" w14:textId="186163CC" w:rsidR="007B4F28" w:rsidRDefault="007B4F28" w:rsidP="00604C26"/>
    <w:p w14:paraId="22476EC6" w14:textId="7F1D7998" w:rsidR="00040ADE" w:rsidRDefault="00D52AA7" w:rsidP="005A48CA">
      <w:pPr>
        <w:rPr>
          <w:lang w:val="en-US"/>
        </w:rPr>
      </w:pPr>
      <w:r>
        <w:rPr>
          <w:lang w:val="en-US"/>
        </w:rPr>
        <w:t xml:space="preserve">For UE requirements </w:t>
      </w:r>
      <w:r w:rsidR="00785F62">
        <w:rPr>
          <w:lang w:val="en-US"/>
        </w:rPr>
        <w:t xml:space="preserve">pertaining to </w:t>
      </w:r>
      <w:r w:rsidR="000A3021">
        <w:rPr>
          <w:lang w:val="en-US"/>
        </w:rPr>
        <w:t xml:space="preserve">SMTC and measurement gap configurations and </w:t>
      </w:r>
      <w:r w:rsidR="00785F62">
        <w:rPr>
          <w:lang w:val="en-US"/>
        </w:rPr>
        <w:t xml:space="preserve">conditional handover, RAN4 </w:t>
      </w:r>
      <w:r w:rsidR="000D0AD0">
        <w:rPr>
          <w:lang w:val="en-US"/>
        </w:rPr>
        <w:t xml:space="preserve">discussion </w:t>
      </w:r>
      <w:r w:rsidR="00785F62">
        <w:rPr>
          <w:lang w:val="en-US"/>
        </w:rPr>
        <w:t xml:space="preserve">should </w:t>
      </w:r>
      <w:r w:rsidR="000D0AD0">
        <w:rPr>
          <w:lang w:val="en-US"/>
        </w:rPr>
        <w:t>put on hold until</w:t>
      </w:r>
      <w:r w:rsidR="004D7B1C">
        <w:rPr>
          <w:lang w:val="en-US"/>
        </w:rPr>
        <w:t xml:space="preserve"> related RAN2 signaling/framework </w:t>
      </w:r>
      <w:r w:rsidR="008644C0">
        <w:rPr>
          <w:lang w:val="en-US"/>
        </w:rPr>
        <w:t>is mature unless RAN4 is explicitly asked by RAN2.</w:t>
      </w:r>
    </w:p>
    <w:p w14:paraId="1E2DAC43" w14:textId="4CDBB3ED" w:rsidR="008644C0" w:rsidRPr="004D4443" w:rsidRDefault="008644C0" w:rsidP="008644C0">
      <w:pPr>
        <w:tabs>
          <w:tab w:val="left" w:pos="567"/>
        </w:tabs>
        <w:snapToGrid w:val="0"/>
        <w:jc w:val="both"/>
        <w:rPr>
          <w:b/>
        </w:rPr>
      </w:pPr>
      <w:r w:rsidRPr="004D4443">
        <w:rPr>
          <w:b/>
        </w:rPr>
        <w:t xml:space="preserve">Proposal </w:t>
      </w:r>
      <w:r>
        <w:rPr>
          <w:b/>
        </w:rPr>
        <w:t>4</w:t>
      </w:r>
      <w:r w:rsidRPr="004D4443">
        <w:rPr>
          <w:b/>
        </w:rPr>
        <w:t xml:space="preserve">: </w:t>
      </w:r>
      <w:r w:rsidRPr="008644C0">
        <w:rPr>
          <w:b/>
        </w:rPr>
        <w:t>UE requirements pertaining to SMTC and measurement gap configurations and conditional handover</w:t>
      </w:r>
      <w:r w:rsidR="004A4A5D">
        <w:rPr>
          <w:b/>
        </w:rPr>
        <w:t xml:space="preserve"> will be developed when RAN2 signaling/framework is settled or RAN4 is explicitly asked by RAN2.</w:t>
      </w:r>
    </w:p>
    <w:p w14:paraId="33820133" w14:textId="77777777" w:rsidR="00321891" w:rsidRDefault="00321891" w:rsidP="00FE0489">
      <w:pPr>
        <w:widowControl w:val="0"/>
        <w:tabs>
          <w:tab w:val="left" w:pos="567"/>
        </w:tabs>
        <w:snapToGrid w:val="0"/>
        <w:spacing w:after="0"/>
        <w:jc w:val="both"/>
        <w:rPr>
          <w:b/>
        </w:rPr>
      </w:pPr>
    </w:p>
    <w:p w14:paraId="1D74DEE4" w14:textId="77777777" w:rsidR="00321891" w:rsidRDefault="00321891" w:rsidP="00FE0489">
      <w:pPr>
        <w:widowControl w:val="0"/>
        <w:tabs>
          <w:tab w:val="left" w:pos="567"/>
        </w:tabs>
        <w:snapToGrid w:val="0"/>
        <w:spacing w:after="0"/>
        <w:jc w:val="both"/>
        <w:rPr>
          <w:b/>
        </w:rPr>
      </w:pPr>
    </w:p>
    <w:p w14:paraId="279790BE" w14:textId="06127467" w:rsidR="00321891" w:rsidRPr="00532DF2" w:rsidRDefault="00321891" w:rsidP="00FE0489">
      <w:pPr>
        <w:widowControl w:val="0"/>
        <w:tabs>
          <w:tab w:val="left" w:pos="567"/>
        </w:tabs>
        <w:snapToGrid w:val="0"/>
        <w:spacing w:after="0"/>
        <w:jc w:val="both"/>
        <w:rPr>
          <w:bCs/>
        </w:rPr>
      </w:pPr>
      <w:r w:rsidRPr="00532DF2">
        <w:rPr>
          <w:bCs/>
        </w:rPr>
        <w:t xml:space="preserve">For </w:t>
      </w:r>
      <w:r>
        <w:rPr>
          <w:bCs/>
        </w:rPr>
        <w:t>non-GEO, UE may have to predict radio link issue because service link quality can change much faster than GEO</w:t>
      </w:r>
      <w:r w:rsidR="00346E82">
        <w:rPr>
          <w:bCs/>
        </w:rPr>
        <w:t xml:space="preserve"> due to</w:t>
      </w:r>
      <w:r w:rsidR="00E37215">
        <w:rPr>
          <w:bCs/>
        </w:rPr>
        <w:t>,</w:t>
      </w:r>
      <w:r w:rsidR="00346E82">
        <w:rPr>
          <w:bCs/>
        </w:rPr>
        <w:t xml:space="preserve"> e.g. pathloss change</w:t>
      </w:r>
      <w:r>
        <w:rPr>
          <w:bCs/>
        </w:rPr>
        <w:t xml:space="preserve">. On the other hand, in GEO, due to </w:t>
      </w:r>
      <w:r w:rsidR="00846022">
        <w:rPr>
          <w:bCs/>
        </w:rPr>
        <w:t xml:space="preserve">a large </w:t>
      </w:r>
      <w:proofErr w:type="gramStart"/>
      <w:r>
        <w:rPr>
          <w:bCs/>
        </w:rPr>
        <w:t>round trip</w:t>
      </w:r>
      <w:proofErr w:type="gramEnd"/>
      <w:r>
        <w:rPr>
          <w:bCs/>
        </w:rPr>
        <w:t xml:space="preserve"> delay, UE may also have to predict radio ink issue in a similar manner as non-GEO</w:t>
      </w:r>
      <w:r w:rsidR="00AA0156">
        <w:rPr>
          <w:bCs/>
        </w:rPr>
        <w:t xml:space="preserve"> to avoid </w:t>
      </w:r>
      <w:r w:rsidR="00EC3053">
        <w:rPr>
          <w:bCs/>
        </w:rPr>
        <w:t xml:space="preserve">radio </w:t>
      </w:r>
      <w:r w:rsidR="00AA0156">
        <w:rPr>
          <w:bCs/>
        </w:rPr>
        <w:t>link re-establish procedure</w:t>
      </w:r>
      <w:r w:rsidR="00215483">
        <w:rPr>
          <w:bCs/>
        </w:rPr>
        <w:t>.</w:t>
      </w:r>
    </w:p>
    <w:p w14:paraId="7C98A089" w14:textId="77777777" w:rsidR="00321891" w:rsidRPr="00365041" w:rsidRDefault="00321891" w:rsidP="00FE0489">
      <w:pPr>
        <w:widowControl w:val="0"/>
        <w:tabs>
          <w:tab w:val="left" w:pos="567"/>
        </w:tabs>
        <w:snapToGrid w:val="0"/>
        <w:spacing w:after="0"/>
        <w:jc w:val="both"/>
        <w:rPr>
          <w:b/>
        </w:rPr>
      </w:pPr>
    </w:p>
    <w:p w14:paraId="0653ADF8" w14:textId="73EA6771" w:rsidR="00321891" w:rsidRPr="004D4443" w:rsidRDefault="00321891" w:rsidP="00FE0489">
      <w:pPr>
        <w:tabs>
          <w:tab w:val="left" w:pos="567"/>
        </w:tabs>
        <w:snapToGrid w:val="0"/>
        <w:jc w:val="both"/>
        <w:rPr>
          <w:b/>
        </w:rPr>
      </w:pPr>
      <w:r w:rsidRPr="004D4443">
        <w:rPr>
          <w:b/>
        </w:rPr>
        <w:t xml:space="preserve">Proposal </w:t>
      </w:r>
      <w:r w:rsidR="008A1534">
        <w:rPr>
          <w:b/>
        </w:rPr>
        <w:t>5</w:t>
      </w:r>
      <w:r w:rsidRPr="004D4443">
        <w:rPr>
          <w:b/>
        </w:rPr>
        <w:t xml:space="preserve">: </w:t>
      </w:r>
      <w:r w:rsidR="00F85F6B" w:rsidRPr="00F85F6B">
        <w:rPr>
          <w:b/>
        </w:rPr>
        <w:t>RAN4 to investigate L1/L3 measurement requirements for GEO and non-GEO separately</w:t>
      </w:r>
      <w:r>
        <w:rPr>
          <w:b/>
        </w:rPr>
        <w:t>.</w:t>
      </w:r>
    </w:p>
    <w:p w14:paraId="21B6D371" w14:textId="77777777" w:rsidR="00F85F6B" w:rsidRPr="00F85F6B" w:rsidRDefault="00F85F6B" w:rsidP="005F5ACA">
      <w:pPr>
        <w:pStyle w:val="ListParagraph"/>
        <w:widowControl w:val="0"/>
        <w:numPr>
          <w:ilvl w:val="0"/>
          <w:numId w:val="1"/>
        </w:numPr>
        <w:tabs>
          <w:tab w:val="left" w:pos="567"/>
        </w:tabs>
        <w:snapToGrid w:val="0"/>
        <w:spacing w:after="0"/>
        <w:ind w:left="567" w:hanging="207"/>
        <w:contextualSpacing w:val="0"/>
        <w:jc w:val="both"/>
        <w:rPr>
          <w:b/>
        </w:rPr>
      </w:pPr>
      <w:r w:rsidRPr="00F85F6B">
        <w:rPr>
          <w:b/>
        </w:rPr>
        <w:t>Whether or not the requirements can be defined in the same manner for GEO and non-GEO will be determined after the investigation</w:t>
      </w:r>
    </w:p>
    <w:p w14:paraId="7DDA4E8B" w14:textId="77777777" w:rsidR="00F85F6B" w:rsidRPr="00F85F6B" w:rsidRDefault="00F85F6B" w:rsidP="005F5ACA">
      <w:pPr>
        <w:pStyle w:val="ListParagraph"/>
        <w:widowControl w:val="0"/>
        <w:numPr>
          <w:ilvl w:val="0"/>
          <w:numId w:val="1"/>
        </w:numPr>
        <w:tabs>
          <w:tab w:val="left" w:pos="567"/>
        </w:tabs>
        <w:snapToGrid w:val="0"/>
        <w:spacing w:after="0"/>
        <w:ind w:left="567" w:hanging="207"/>
        <w:contextualSpacing w:val="0"/>
        <w:jc w:val="both"/>
        <w:rPr>
          <w:b/>
        </w:rPr>
      </w:pPr>
      <w:r w:rsidRPr="00F85F6B">
        <w:rPr>
          <w:b/>
        </w:rPr>
        <w:t>Whether legacy RLF and BFD requirements are relevant for NTN UEs, e.g. legacy BLER value of a hypothetical PDCCH transmission and/or PDCCH format for out-of-sync and BFD can be reused</w:t>
      </w:r>
    </w:p>
    <w:p w14:paraId="75205CA9" w14:textId="77777777" w:rsidR="00862C72" w:rsidRPr="004D4443" w:rsidRDefault="00862C72" w:rsidP="00862C72">
      <w:pPr>
        <w:rPr>
          <w:b/>
          <w:bCs/>
        </w:rPr>
      </w:pPr>
    </w:p>
    <w:p w14:paraId="341E9DD8" w14:textId="68E55FE1" w:rsidR="009E54DA" w:rsidRPr="001E4305" w:rsidRDefault="00527894" w:rsidP="00240F55">
      <w:pPr>
        <w:pStyle w:val="Heading1"/>
        <w:ind w:left="0" w:firstLine="0"/>
      </w:pPr>
      <w:r>
        <w:t>3.</w:t>
      </w:r>
      <w:r>
        <w:tab/>
      </w:r>
      <w:r w:rsidR="009E54DA">
        <w:t>Conclusion</w:t>
      </w:r>
    </w:p>
    <w:p w14:paraId="0616E419" w14:textId="77777777" w:rsidR="00EA2136" w:rsidRDefault="00EA2136" w:rsidP="00EA2136">
      <w:pPr>
        <w:rPr>
          <w:lang w:eastAsia="en-US"/>
        </w:rPr>
      </w:pPr>
      <w:r>
        <w:rPr>
          <w:lang w:eastAsia="en-US"/>
        </w:rPr>
        <w:t>Observations and Proposals are summarized below:</w:t>
      </w:r>
    </w:p>
    <w:p w14:paraId="7455DA06" w14:textId="77777777" w:rsidR="00DB6DB1" w:rsidRPr="004D4443" w:rsidRDefault="00DB6DB1" w:rsidP="00DB6DB1">
      <w:pPr>
        <w:tabs>
          <w:tab w:val="left" w:pos="567"/>
        </w:tabs>
        <w:snapToGrid w:val="0"/>
        <w:jc w:val="both"/>
        <w:rPr>
          <w:b/>
        </w:rPr>
      </w:pPr>
      <w:r>
        <w:rPr>
          <w:b/>
        </w:rPr>
        <w:t xml:space="preserve">Observation </w:t>
      </w:r>
      <w:r w:rsidRPr="004D4443">
        <w:rPr>
          <w:b/>
        </w:rPr>
        <w:t>1:</w:t>
      </w:r>
      <w:r>
        <w:rPr>
          <w:b/>
        </w:rPr>
        <w:t xml:space="preserve"> In NTN with frequency reuse factor larger than 1, inter-cell mobility under the same satellite </w:t>
      </w:r>
      <w:proofErr w:type="gramStart"/>
      <w:r>
        <w:rPr>
          <w:b/>
        </w:rPr>
        <w:t>can be seen as</w:t>
      </w:r>
      <w:proofErr w:type="gramEnd"/>
      <w:r>
        <w:rPr>
          <w:b/>
        </w:rPr>
        <w:t xml:space="preserve"> BWP switching based L1 mobility.</w:t>
      </w:r>
    </w:p>
    <w:p w14:paraId="5C72D2B2" w14:textId="77777777" w:rsidR="00DB6DB1" w:rsidRDefault="00DB6DB1" w:rsidP="00DB6DB1">
      <w:pPr>
        <w:tabs>
          <w:tab w:val="left" w:pos="567"/>
        </w:tabs>
        <w:snapToGrid w:val="0"/>
        <w:jc w:val="both"/>
        <w:rPr>
          <w:b/>
        </w:rPr>
      </w:pPr>
      <w:r w:rsidRPr="004D4443">
        <w:rPr>
          <w:b/>
        </w:rPr>
        <w:t xml:space="preserve">Proposal 1: </w:t>
      </w:r>
      <w:r>
        <w:rPr>
          <w:b/>
        </w:rPr>
        <w:t xml:space="preserve">RAN4 to discuss/determine </w:t>
      </w:r>
      <w:proofErr w:type="gramStart"/>
      <w:r>
        <w:rPr>
          <w:b/>
        </w:rPr>
        <w:t>whether or not</w:t>
      </w:r>
      <w:proofErr w:type="gramEnd"/>
      <w:r>
        <w:rPr>
          <w:b/>
        </w:rPr>
        <w:t xml:space="preserve"> inter-cell mobility requirements should be defined differently for the following cases based on RAN2 design:</w:t>
      </w:r>
    </w:p>
    <w:p w14:paraId="3C09D91F" w14:textId="77777777" w:rsidR="00DB6DB1" w:rsidRDefault="00DB6DB1" w:rsidP="00DB6DB1">
      <w:pPr>
        <w:pStyle w:val="ListParagraph"/>
        <w:widowControl w:val="0"/>
        <w:numPr>
          <w:ilvl w:val="0"/>
          <w:numId w:val="1"/>
        </w:numPr>
        <w:tabs>
          <w:tab w:val="left" w:pos="567"/>
        </w:tabs>
        <w:snapToGrid w:val="0"/>
        <w:spacing w:after="0"/>
        <w:ind w:left="540" w:hanging="180"/>
        <w:contextualSpacing w:val="0"/>
        <w:jc w:val="both"/>
        <w:rPr>
          <w:b/>
        </w:rPr>
      </w:pPr>
      <w:r>
        <w:rPr>
          <w:b/>
        </w:rPr>
        <w:t xml:space="preserve">When a target cell belongs to the same satellite as a serving cell, e.g. it can be similar to L1 </w:t>
      </w:r>
      <w:proofErr w:type="gramStart"/>
      <w:r>
        <w:rPr>
          <w:b/>
        </w:rPr>
        <w:t>measurement based</w:t>
      </w:r>
      <w:proofErr w:type="gramEnd"/>
      <w:r>
        <w:rPr>
          <w:b/>
        </w:rPr>
        <w:t xml:space="preserve"> BWP switching</w:t>
      </w:r>
    </w:p>
    <w:p w14:paraId="60DB47A9" w14:textId="77777777" w:rsidR="00DB6DB1" w:rsidRDefault="00DB6DB1" w:rsidP="00DB6DB1">
      <w:pPr>
        <w:pStyle w:val="ListParagraph"/>
        <w:widowControl w:val="0"/>
        <w:numPr>
          <w:ilvl w:val="0"/>
          <w:numId w:val="1"/>
        </w:numPr>
        <w:tabs>
          <w:tab w:val="left" w:pos="567"/>
        </w:tabs>
        <w:snapToGrid w:val="0"/>
        <w:spacing w:after="0"/>
        <w:ind w:left="540" w:hanging="180"/>
        <w:contextualSpacing w:val="0"/>
        <w:jc w:val="both"/>
        <w:rPr>
          <w:b/>
        </w:rPr>
      </w:pPr>
      <w:r>
        <w:rPr>
          <w:b/>
        </w:rPr>
        <w:t xml:space="preserve">When a target cell belongs to a different satellite from a serving satellite, e.g. it can be </w:t>
      </w:r>
      <w:proofErr w:type="gramStart"/>
      <w:r>
        <w:rPr>
          <w:b/>
        </w:rPr>
        <w:t>similar to</w:t>
      </w:r>
      <w:proofErr w:type="gramEnd"/>
      <w:r>
        <w:rPr>
          <w:b/>
        </w:rPr>
        <w:t xml:space="preserve"> legacy L3 measurement based inter-cell mobility</w:t>
      </w:r>
    </w:p>
    <w:p w14:paraId="57591096" w14:textId="77777777" w:rsidR="00DB6DB1" w:rsidRDefault="00DB6DB1" w:rsidP="00DB6DB1">
      <w:pPr>
        <w:tabs>
          <w:tab w:val="left" w:pos="567"/>
        </w:tabs>
        <w:snapToGrid w:val="0"/>
        <w:jc w:val="both"/>
        <w:rPr>
          <w:b/>
        </w:rPr>
      </w:pPr>
      <w:r w:rsidRPr="004D4443">
        <w:rPr>
          <w:b/>
        </w:rPr>
        <w:t xml:space="preserve">Proposal </w:t>
      </w:r>
      <w:r>
        <w:rPr>
          <w:b/>
        </w:rPr>
        <w:t>2</w:t>
      </w:r>
      <w:r w:rsidRPr="004D4443">
        <w:rPr>
          <w:b/>
        </w:rPr>
        <w:t xml:space="preserve">: </w:t>
      </w:r>
      <w:r>
        <w:rPr>
          <w:b/>
        </w:rPr>
        <w:t>RAN4 to discuss/determine w</w:t>
      </w:r>
      <w:r w:rsidRPr="00FC6982">
        <w:rPr>
          <w:b/>
        </w:rPr>
        <w:t>hether to define same of different requirements in terms of the number of measurement cells for intra-satellite and inter-satellite, e.g. 7 cells for intra-satellite and 3 cells for inter-satellite, etc.</w:t>
      </w:r>
    </w:p>
    <w:p w14:paraId="0EDE1D71" w14:textId="77777777" w:rsidR="00DB6DB1" w:rsidRPr="00FC6982" w:rsidRDefault="00DB6DB1" w:rsidP="00DB6DB1">
      <w:pPr>
        <w:tabs>
          <w:tab w:val="left" w:pos="567"/>
        </w:tabs>
        <w:snapToGrid w:val="0"/>
        <w:jc w:val="both"/>
        <w:rPr>
          <w:b/>
        </w:rPr>
      </w:pPr>
      <w:r w:rsidRPr="004D4443">
        <w:rPr>
          <w:b/>
        </w:rPr>
        <w:t xml:space="preserve">Proposal </w:t>
      </w:r>
      <w:r>
        <w:rPr>
          <w:b/>
        </w:rPr>
        <w:t>3</w:t>
      </w:r>
      <w:r w:rsidRPr="004D4443">
        <w:rPr>
          <w:b/>
        </w:rPr>
        <w:t xml:space="preserve">: </w:t>
      </w:r>
      <w:r>
        <w:rPr>
          <w:b/>
        </w:rPr>
        <w:t>RAN4 to discuss/determine w</w:t>
      </w:r>
      <w:r w:rsidRPr="00FC6982">
        <w:rPr>
          <w:b/>
        </w:rPr>
        <w:t xml:space="preserve">hether to define </w:t>
      </w:r>
      <w:r>
        <w:rPr>
          <w:b/>
        </w:rPr>
        <w:t>l</w:t>
      </w:r>
      <w:r w:rsidRPr="00BA3CB0">
        <w:rPr>
          <w:b/>
        </w:rPr>
        <w:t>ocation</w:t>
      </w:r>
      <w:r>
        <w:rPr>
          <w:b/>
        </w:rPr>
        <w:t>-</w:t>
      </w:r>
      <w:r w:rsidRPr="00BA3CB0">
        <w:rPr>
          <w:b/>
        </w:rPr>
        <w:t xml:space="preserve"> and/or timer</w:t>
      </w:r>
      <w:r>
        <w:rPr>
          <w:b/>
        </w:rPr>
        <w:t>-</w:t>
      </w:r>
      <w:r w:rsidRPr="00BA3CB0">
        <w:rPr>
          <w:b/>
        </w:rPr>
        <w:t>based measurement relaxation, e.g. measurement interval can be relaxed when UE is close to the centre of beam footprint for GEO and/or non-GEO with at least earth-fixed cell</w:t>
      </w:r>
    </w:p>
    <w:p w14:paraId="7A1C2E72" w14:textId="77777777" w:rsidR="00DB6DB1" w:rsidRPr="004D4443" w:rsidRDefault="00DB6DB1" w:rsidP="00DB6DB1">
      <w:pPr>
        <w:tabs>
          <w:tab w:val="left" w:pos="567"/>
        </w:tabs>
        <w:snapToGrid w:val="0"/>
        <w:jc w:val="both"/>
        <w:rPr>
          <w:b/>
        </w:rPr>
      </w:pPr>
      <w:r w:rsidRPr="004D4443">
        <w:rPr>
          <w:b/>
        </w:rPr>
        <w:t xml:space="preserve">Proposal </w:t>
      </w:r>
      <w:r>
        <w:rPr>
          <w:b/>
        </w:rPr>
        <w:t>4</w:t>
      </w:r>
      <w:r w:rsidRPr="004D4443">
        <w:rPr>
          <w:b/>
        </w:rPr>
        <w:t xml:space="preserve">: </w:t>
      </w:r>
      <w:r w:rsidRPr="008644C0">
        <w:rPr>
          <w:b/>
        </w:rPr>
        <w:t>UE requirements pertaining to SMTC and measurement gap configurations and conditional handover</w:t>
      </w:r>
      <w:r>
        <w:rPr>
          <w:b/>
        </w:rPr>
        <w:t xml:space="preserve"> will be developed when RAN2 signaling/framework is settled or RAN4 is explicitly asked by RAN2.</w:t>
      </w:r>
    </w:p>
    <w:p w14:paraId="262EC6AC" w14:textId="77777777" w:rsidR="00DB6DB1" w:rsidRPr="004D4443" w:rsidRDefault="00DB6DB1" w:rsidP="00DB6DB1">
      <w:pPr>
        <w:tabs>
          <w:tab w:val="left" w:pos="567"/>
        </w:tabs>
        <w:snapToGrid w:val="0"/>
        <w:jc w:val="both"/>
        <w:rPr>
          <w:b/>
        </w:rPr>
      </w:pPr>
      <w:r w:rsidRPr="004D4443">
        <w:rPr>
          <w:b/>
        </w:rPr>
        <w:t xml:space="preserve">Proposal </w:t>
      </w:r>
      <w:r>
        <w:rPr>
          <w:b/>
        </w:rPr>
        <w:t>5</w:t>
      </w:r>
      <w:r w:rsidRPr="004D4443">
        <w:rPr>
          <w:b/>
        </w:rPr>
        <w:t xml:space="preserve">: </w:t>
      </w:r>
      <w:r w:rsidRPr="00F85F6B">
        <w:rPr>
          <w:b/>
        </w:rPr>
        <w:t>RAN4 to investigate L1/L3 measurement requirements for GEO and non-GEO separately</w:t>
      </w:r>
      <w:r>
        <w:rPr>
          <w:b/>
        </w:rPr>
        <w:t>.</w:t>
      </w:r>
    </w:p>
    <w:p w14:paraId="6B8886AE" w14:textId="77777777" w:rsidR="00DB6DB1" w:rsidRPr="00F85F6B" w:rsidRDefault="00DB6DB1" w:rsidP="00DB6DB1">
      <w:pPr>
        <w:pStyle w:val="ListParagraph"/>
        <w:widowControl w:val="0"/>
        <w:numPr>
          <w:ilvl w:val="0"/>
          <w:numId w:val="1"/>
        </w:numPr>
        <w:tabs>
          <w:tab w:val="left" w:pos="567"/>
        </w:tabs>
        <w:snapToGrid w:val="0"/>
        <w:spacing w:after="0"/>
        <w:ind w:left="567" w:hanging="207"/>
        <w:contextualSpacing w:val="0"/>
        <w:jc w:val="both"/>
        <w:rPr>
          <w:b/>
        </w:rPr>
      </w:pPr>
      <w:r w:rsidRPr="00F85F6B">
        <w:rPr>
          <w:b/>
        </w:rPr>
        <w:t>Whether or not the requirements can be defined in the same manner for GEO and non-GEO will be determined after the investigation</w:t>
      </w:r>
    </w:p>
    <w:p w14:paraId="6FA3A503" w14:textId="77777777" w:rsidR="00DB6DB1" w:rsidRPr="00F85F6B" w:rsidRDefault="00DB6DB1" w:rsidP="00DB6DB1">
      <w:pPr>
        <w:pStyle w:val="ListParagraph"/>
        <w:widowControl w:val="0"/>
        <w:numPr>
          <w:ilvl w:val="0"/>
          <w:numId w:val="1"/>
        </w:numPr>
        <w:tabs>
          <w:tab w:val="left" w:pos="567"/>
        </w:tabs>
        <w:snapToGrid w:val="0"/>
        <w:spacing w:after="0"/>
        <w:ind w:left="567" w:hanging="207"/>
        <w:contextualSpacing w:val="0"/>
        <w:jc w:val="both"/>
        <w:rPr>
          <w:b/>
        </w:rPr>
      </w:pPr>
      <w:r w:rsidRPr="00F85F6B">
        <w:rPr>
          <w:b/>
        </w:rPr>
        <w:t>Whether legacy RLF and BFD requirements are relevant for NTN UEs, e.g. legacy BLER value of a hypothetical PDCCH transmission and/or PDCCH format for out-of-sync and BFD can be reused</w:t>
      </w:r>
    </w:p>
    <w:p w14:paraId="73FE6231" w14:textId="77777777" w:rsidR="00DB6DB1" w:rsidRPr="004D4443" w:rsidRDefault="00DB6DB1" w:rsidP="00DB6DB1">
      <w:pPr>
        <w:rPr>
          <w:b/>
          <w:bCs/>
        </w:rPr>
      </w:pPr>
    </w:p>
    <w:p w14:paraId="3899C087" w14:textId="77777777" w:rsidR="00475E8D" w:rsidRDefault="00475E8D" w:rsidP="00DB6DB1">
      <w:pPr>
        <w:tabs>
          <w:tab w:val="left" w:pos="567"/>
        </w:tabs>
        <w:snapToGrid w:val="0"/>
        <w:jc w:val="both"/>
        <w:rPr>
          <w:b/>
        </w:rPr>
      </w:pPr>
    </w:p>
    <w:sectPr w:rsidR="00475E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2CD0E" w14:textId="77777777" w:rsidR="00DC6982" w:rsidRDefault="00DC6982" w:rsidP="009939B7">
      <w:pPr>
        <w:spacing w:after="0"/>
      </w:pPr>
      <w:r>
        <w:separator/>
      </w:r>
    </w:p>
  </w:endnote>
  <w:endnote w:type="continuationSeparator" w:id="0">
    <w:p w14:paraId="35E4AF15" w14:textId="77777777" w:rsidR="00DC6982" w:rsidRDefault="00DC6982" w:rsidP="009939B7">
      <w:pPr>
        <w:spacing w:after="0"/>
      </w:pPr>
      <w:r>
        <w:continuationSeparator/>
      </w:r>
    </w:p>
  </w:endnote>
  <w:endnote w:type="continuationNotice" w:id="1">
    <w:p w14:paraId="024A4828" w14:textId="77777777" w:rsidR="00DC6982" w:rsidRDefault="00DC6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9B3B5" w14:textId="77777777" w:rsidR="00DC6982" w:rsidRDefault="00DC6982" w:rsidP="009939B7">
      <w:pPr>
        <w:spacing w:after="0"/>
      </w:pPr>
      <w:r>
        <w:separator/>
      </w:r>
    </w:p>
  </w:footnote>
  <w:footnote w:type="continuationSeparator" w:id="0">
    <w:p w14:paraId="5735F63B" w14:textId="77777777" w:rsidR="00DC6982" w:rsidRDefault="00DC6982" w:rsidP="009939B7">
      <w:pPr>
        <w:spacing w:after="0"/>
      </w:pPr>
      <w:r>
        <w:continuationSeparator/>
      </w:r>
    </w:p>
  </w:footnote>
  <w:footnote w:type="continuationNotice" w:id="1">
    <w:p w14:paraId="0565B4A8" w14:textId="77777777" w:rsidR="00DC6982" w:rsidRDefault="00DC69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01"/>
    <w:multiLevelType w:val="hybridMultilevel"/>
    <w:tmpl w:val="05BAE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750A9"/>
    <w:multiLevelType w:val="hybridMultilevel"/>
    <w:tmpl w:val="3F4EFE00"/>
    <w:lvl w:ilvl="0" w:tplc="F228A1DC">
      <w:start w:val="1"/>
      <w:numFmt w:val="bullet"/>
      <w:lvlText w:val="•"/>
      <w:lvlJc w:val="left"/>
      <w:pPr>
        <w:tabs>
          <w:tab w:val="num" w:pos="720"/>
        </w:tabs>
        <w:ind w:left="720" w:hanging="360"/>
      </w:pPr>
      <w:rPr>
        <w:rFonts w:ascii="Arial" w:hAnsi="Arial" w:hint="default"/>
      </w:rPr>
    </w:lvl>
    <w:lvl w:ilvl="1" w:tplc="F9500C8E">
      <w:start w:val="83"/>
      <w:numFmt w:val="bullet"/>
      <w:lvlText w:val="◦"/>
      <w:lvlJc w:val="left"/>
      <w:pPr>
        <w:tabs>
          <w:tab w:val="num" w:pos="1440"/>
        </w:tabs>
        <w:ind w:left="1440" w:hanging="360"/>
      </w:pPr>
      <w:rPr>
        <w:rFonts w:ascii="Microsoft Sans Serif" w:hAnsi="Microsoft Sans Serif" w:hint="default"/>
      </w:rPr>
    </w:lvl>
    <w:lvl w:ilvl="2" w:tplc="0BF88ABA">
      <w:start w:val="1"/>
      <w:numFmt w:val="bullet"/>
      <w:lvlText w:val="•"/>
      <w:lvlJc w:val="left"/>
      <w:pPr>
        <w:tabs>
          <w:tab w:val="num" w:pos="2160"/>
        </w:tabs>
        <w:ind w:left="2160" w:hanging="360"/>
      </w:pPr>
      <w:rPr>
        <w:rFonts w:ascii="Arial" w:hAnsi="Arial" w:hint="default"/>
      </w:rPr>
    </w:lvl>
    <w:lvl w:ilvl="3" w:tplc="8E2E010C">
      <w:start w:val="1"/>
      <w:numFmt w:val="bullet"/>
      <w:lvlText w:val="•"/>
      <w:lvlJc w:val="left"/>
      <w:pPr>
        <w:tabs>
          <w:tab w:val="num" w:pos="2880"/>
        </w:tabs>
        <w:ind w:left="2880" w:hanging="360"/>
      </w:pPr>
      <w:rPr>
        <w:rFonts w:ascii="Arial" w:hAnsi="Arial" w:hint="default"/>
      </w:rPr>
    </w:lvl>
    <w:lvl w:ilvl="4" w:tplc="8E641218" w:tentative="1">
      <w:start w:val="1"/>
      <w:numFmt w:val="bullet"/>
      <w:lvlText w:val="•"/>
      <w:lvlJc w:val="left"/>
      <w:pPr>
        <w:tabs>
          <w:tab w:val="num" w:pos="3600"/>
        </w:tabs>
        <w:ind w:left="3600" w:hanging="360"/>
      </w:pPr>
      <w:rPr>
        <w:rFonts w:ascii="Arial" w:hAnsi="Arial" w:hint="default"/>
      </w:rPr>
    </w:lvl>
    <w:lvl w:ilvl="5" w:tplc="77A68584" w:tentative="1">
      <w:start w:val="1"/>
      <w:numFmt w:val="bullet"/>
      <w:lvlText w:val="•"/>
      <w:lvlJc w:val="left"/>
      <w:pPr>
        <w:tabs>
          <w:tab w:val="num" w:pos="4320"/>
        </w:tabs>
        <w:ind w:left="4320" w:hanging="360"/>
      </w:pPr>
      <w:rPr>
        <w:rFonts w:ascii="Arial" w:hAnsi="Arial" w:hint="default"/>
      </w:rPr>
    </w:lvl>
    <w:lvl w:ilvl="6" w:tplc="8B8285CC" w:tentative="1">
      <w:start w:val="1"/>
      <w:numFmt w:val="bullet"/>
      <w:lvlText w:val="•"/>
      <w:lvlJc w:val="left"/>
      <w:pPr>
        <w:tabs>
          <w:tab w:val="num" w:pos="5040"/>
        </w:tabs>
        <w:ind w:left="5040" w:hanging="360"/>
      </w:pPr>
      <w:rPr>
        <w:rFonts w:ascii="Arial" w:hAnsi="Arial" w:hint="default"/>
      </w:rPr>
    </w:lvl>
    <w:lvl w:ilvl="7" w:tplc="579C70B4" w:tentative="1">
      <w:start w:val="1"/>
      <w:numFmt w:val="bullet"/>
      <w:lvlText w:val="•"/>
      <w:lvlJc w:val="left"/>
      <w:pPr>
        <w:tabs>
          <w:tab w:val="num" w:pos="5760"/>
        </w:tabs>
        <w:ind w:left="5760" w:hanging="360"/>
      </w:pPr>
      <w:rPr>
        <w:rFonts w:ascii="Arial" w:hAnsi="Arial" w:hint="default"/>
      </w:rPr>
    </w:lvl>
    <w:lvl w:ilvl="8" w:tplc="43081E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123F87"/>
    <w:multiLevelType w:val="hybridMultilevel"/>
    <w:tmpl w:val="115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D97BC3"/>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60B66"/>
    <w:multiLevelType w:val="hybridMultilevel"/>
    <w:tmpl w:val="DA78E3AA"/>
    <w:lvl w:ilvl="0" w:tplc="5BCAD274">
      <w:start w:val="1"/>
      <w:numFmt w:val="bullet"/>
      <w:lvlText w:val="-"/>
      <w:lvlJc w:val="left"/>
      <w:pPr>
        <w:ind w:left="1440" w:hanging="720"/>
      </w:pPr>
      <w:rPr>
        <w:rFonts w:ascii="Calibri" w:hAnsi="Calibri" w:cs="Calibri" w:hint="default"/>
        <w:b w:val="0"/>
      </w:rPr>
    </w:lvl>
    <w:lvl w:ilvl="1" w:tplc="ADC27BF6">
      <w:start w:val="5"/>
      <w:numFmt w:val="bullet"/>
      <w:lvlText w:val="-"/>
      <w:lvlJc w:val="left"/>
      <w:pPr>
        <w:ind w:left="2160" w:hanging="720"/>
      </w:pPr>
      <w:rPr>
        <w:rFonts w:ascii="Times New Roman" w:eastAsiaTheme="minorEastAsia" w:hAnsi="Times New Roman" w:cs="Times New Roman" w:hint="default"/>
      </w:rPr>
    </w:lvl>
    <w:lvl w:ilvl="2" w:tplc="99689F56">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651CB"/>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F6F62"/>
    <w:multiLevelType w:val="hybridMultilevel"/>
    <w:tmpl w:val="B5DEA58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BC6C7F"/>
    <w:multiLevelType w:val="hybridMultilevel"/>
    <w:tmpl w:val="BC2A37BE"/>
    <w:lvl w:ilvl="0" w:tplc="04090001">
      <w:start w:val="1"/>
      <w:numFmt w:val="bullet"/>
      <w:lvlText w:val=""/>
      <w:lvlJc w:val="left"/>
      <w:pPr>
        <w:ind w:left="720" w:hanging="360"/>
      </w:pPr>
      <w:rPr>
        <w:rFonts w:ascii="Symbol" w:hAnsi="Symbol" w:hint="default"/>
      </w:rPr>
    </w:lvl>
    <w:lvl w:ilvl="1" w:tplc="9D3EF336">
      <w:start w:val="1"/>
      <w:numFmt w:val="bullet"/>
      <w:lvlText w:val="─"/>
      <w:lvlJc w:val="left"/>
      <w:pPr>
        <w:ind w:left="1440" w:hanging="360"/>
      </w:pPr>
      <w:rPr>
        <w:rFonts w:ascii="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312875"/>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E324295"/>
    <w:multiLevelType w:val="hybridMultilevel"/>
    <w:tmpl w:val="33BAEF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FB7FF2"/>
    <w:multiLevelType w:val="hybridMultilevel"/>
    <w:tmpl w:val="5A48E8CC"/>
    <w:lvl w:ilvl="0" w:tplc="6D085682">
      <w:start w:val="1"/>
      <w:numFmt w:val="bullet"/>
      <w:lvlText w:val="•"/>
      <w:lvlJc w:val="left"/>
      <w:pPr>
        <w:tabs>
          <w:tab w:val="num" w:pos="720"/>
        </w:tabs>
        <w:ind w:left="720" w:hanging="360"/>
      </w:pPr>
      <w:rPr>
        <w:rFonts w:ascii="Arial" w:hAnsi="Arial" w:hint="default"/>
      </w:rPr>
    </w:lvl>
    <w:lvl w:ilvl="1" w:tplc="187E0EE4">
      <w:start w:val="83"/>
      <w:numFmt w:val="bullet"/>
      <w:lvlText w:val="◦"/>
      <w:lvlJc w:val="left"/>
      <w:pPr>
        <w:tabs>
          <w:tab w:val="num" w:pos="1440"/>
        </w:tabs>
        <w:ind w:left="1440" w:hanging="360"/>
      </w:pPr>
      <w:rPr>
        <w:rFonts w:ascii="Microsoft Sans Serif" w:hAnsi="Microsoft Sans Serif" w:hint="default"/>
      </w:rPr>
    </w:lvl>
    <w:lvl w:ilvl="2" w:tplc="C78CD5CC">
      <w:start w:val="1"/>
      <w:numFmt w:val="bullet"/>
      <w:lvlText w:val="•"/>
      <w:lvlJc w:val="left"/>
      <w:pPr>
        <w:tabs>
          <w:tab w:val="num" w:pos="2160"/>
        </w:tabs>
        <w:ind w:left="2160" w:hanging="360"/>
      </w:pPr>
      <w:rPr>
        <w:rFonts w:ascii="Arial" w:hAnsi="Arial" w:hint="default"/>
      </w:rPr>
    </w:lvl>
    <w:lvl w:ilvl="3" w:tplc="6FE2A4CA">
      <w:start w:val="1"/>
      <w:numFmt w:val="bullet"/>
      <w:lvlText w:val="•"/>
      <w:lvlJc w:val="left"/>
      <w:pPr>
        <w:tabs>
          <w:tab w:val="num" w:pos="2880"/>
        </w:tabs>
        <w:ind w:left="2880" w:hanging="360"/>
      </w:pPr>
      <w:rPr>
        <w:rFonts w:ascii="Arial" w:hAnsi="Arial" w:hint="default"/>
      </w:rPr>
    </w:lvl>
    <w:lvl w:ilvl="4" w:tplc="82801202" w:tentative="1">
      <w:start w:val="1"/>
      <w:numFmt w:val="bullet"/>
      <w:lvlText w:val="•"/>
      <w:lvlJc w:val="left"/>
      <w:pPr>
        <w:tabs>
          <w:tab w:val="num" w:pos="3600"/>
        </w:tabs>
        <w:ind w:left="3600" w:hanging="360"/>
      </w:pPr>
      <w:rPr>
        <w:rFonts w:ascii="Arial" w:hAnsi="Arial" w:hint="default"/>
      </w:rPr>
    </w:lvl>
    <w:lvl w:ilvl="5" w:tplc="5C82508A" w:tentative="1">
      <w:start w:val="1"/>
      <w:numFmt w:val="bullet"/>
      <w:lvlText w:val="•"/>
      <w:lvlJc w:val="left"/>
      <w:pPr>
        <w:tabs>
          <w:tab w:val="num" w:pos="4320"/>
        </w:tabs>
        <w:ind w:left="4320" w:hanging="360"/>
      </w:pPr>
      <w:rPr>
        <w:rFonts w:ascii="Arial" w:hAnsi="Arial" w:hint="default"/>
      </w:rPr>
    </w:lvl>
    <w:lvl w:ilvl="6" w:tplc="3A02EC94" w:tentative="1">
      <w:start w:val="1"/>
      <w:numFmt w:val="bullet"/>
      <w:lvlText w:val="•"/>
      <w:lvlJc w:val="left"/>
      <w:pPr>
        <w:tabs>
          <w:tab w:val="num" w:pos="5040"/>
        </w:tabs>
        <w:ind w:left="5040" w:hanging="360"/>
      </w:pPr>
      <w:rPr>
        <w:rFonts w:ascii="Arial" w:hAnsi="Arial" w:hint="default"/>
      </w:rPr>
    </w:lvl>
    <w:lvl w:ilvl="7" w:tplc="8B3E2B32" w:tentative="1">
      <w:start w:val="1"/>
      <w:numFmt w:val="bullet"/>
      <w:lvlText w:val="•"/>
      <w:lvlJc w:val="left"/>
      <w:pPr>
        <w:tabs>
          <w:tab w:val="num" w:pos="5760"/>
        </w:tabs>
        <w:ind w:left="5760" w:hanging="360"/>
      </w:pPr>
      <w:rPr>
        <w:rFonts w:ascii="Arial" w:hAnsi="Arial" w:hint="default"/>
      </w:rPr>
    </w:lvl>
    <w:lvl w:ilvl="8" w:tplc="9A7607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124B25"/>
    <w:multiLevelType w:val="hybridMultilevel"/>
    <w:tmpl w:val="3688611E"/>
    <w:lvl w:ilvl="0" w:tplc="44E097AE">
      <w:start w:val="1"/>
      <w:numFmt w:val="bullet"/>
      <w:lvlText w:val="•"/>
      <w:lvlJc w:val="left"/>
      <w:pPr>
        <w:tabs>
          <w:tab w:val="num" w:pos="1080"/>
        </w:tabs>
        <w:ind w:left="1080" w:hanging="360"/>
      </w:pPr>
      <w:rPr>
        <w:rFonts w:ascii="Arial" w:hAnsi="Arial" w:hint="default"/>
      </w:rPr>
    </w:lvl>
    <w:lvl w:ilvl="1" w:tplc="670E11E6">
      <w:start w:val="83"/>
      <w:numFmt w:val="bullet"/>
      <w:lvlText w:val="◦"/>
      <w:lvlJc w:val="left"/>
      <w:pPr>
        <w:tabs>
          <w:tab w:val="num" w:pos="1800"/>
        </w:tabs>
        <w:ind w:left="1800" w:hanging="360"/>
      </w:pPr>
      <w:rPr>
        <w:rFonts w:ascii="Microsoft Sans Serif" w:hAnsi="Microsoft Sans Serif" w:hint="default"/>
      </w:rPr>
    </w:lvl>
    <w:lvl w:ilvl="2" w:tplc="FE12B06A" w:tentative="1">
      <w:start w:val="1"/>
      <w:numFmt w:val="bullet"/>
      <w:lvlText w:val="•"/>
      <w:lvlJc w:val="left"/>
      <w:pPr>
        <w:tabs>
          <w:tab w:val="num" w:pos="2520"/>
        </w:tabs>
        <w:ind w:left="2520" w:hanging="360"/>
      </w:pPr>
      <w:rPr>
        <w:rFonts w:ascii="Arial" w:hAnsi="Arial" w:hint="default"/>
      </w:rPr>
    </w:lvl>
    <w:lvl w:ilvl="3" w:tplc="7C3203BC" w:tentative="1">
      <w:start w:val="1"/>
      <w:numFmt w:val="bullet"/>
      <w:lvlText w:val="•"/>
      <w:lvlJc w:val="left"/>
      <w:pPr>
        <w:tabs>
          <w:tab w:val="num" w:pos="3240"/>
        </w:tabs>
        <w:ind w:left="3240" w:hanging="360"/>
      </w:pPr>
      <w:rPr>
        <w:rFonts w:ascii="Arial" w:hAnsi="Arial" w:hint="default"/>
      </w:rPr>
    </w:lvl>
    <w:lvl w:ilvl="4" w:tplc="9F529E1E" w:tentative="1">
      <w:start w:val="1"/>
      <w:numFmt w:val="bullet"/>
      <w:lvlText w:val="•"/>
      <w:lvlJc w:val="left"/>
      <w:pPr>
        <w:tabs>
          <w:tab w:val="num" w:pos="3960"/>
        </w:tabs>
        <w:ind w:left="3960" w:hanging="360"/>
      </w:pPr>
      <w:rPr>
        <w:rFonts w:ascii="Arial" w:hAnsi="Arial" w:hint="default"/>
      </w:rPr>
    </w:lvl>
    <w:lvl w:ilvl="5" w:tplc="5AA017DC" w:tentative="1">
      <w:start w:val="1"/>
      <w:numFmt w:val="bullet"/>
      <w:lvlText w:val="•"/>
      <w:lvlJc w:val="left"/>
      <w:pPr>
        <w:tabs>
          <w:tab w:val="num" w:pos="4680"/>
        </w:tabs>
        <w:ind w:left="4680" w:hanging="360"/>
      </w:pPr>
      <w:rPr>
        <w:rFonts w:ascii="Arial" w:hAnsi="Arial" w:hint="default"/>
      </w:rPr>
    </w:lvl>
    <w:lvl w:ilvl="6" w:tplc="B1548C8E" w:tentative="1">
      <w:start w:val="1"/>
      <w:numFmt w:val="bullet"/>
      <w:lvlText w:val="•"/>
      <w:lvlJc w:val="left"/>
      <w:pPr>
        <w:tabs>
          <w:tab w:val="num" w:pos="5400"/>
        </w:tabs>
        <w:ind w:left="5400" w:hanging="360"/>
      </w:pPr>
      <w:rPr>
        <w:rFonts w:ascii="Arial" w:hAnsi="Arial" w:hint="default"/>
      </w:rPr>
    </w:lvl>
    <w:lvl w:ilvl="7" w:tplc="A5D0CA20" w:tentative="1">
      <w:start w:val="1"/>
      <w:numFmt w:val="bullet"/>
      <w:lvlText w:val="•"/>
      <w:lvlJc w:val="left"/>
      <w:pPr>
        <w:tabs>
          <w:tab w:val="num" w:pos="6120"/>
        </w:tabs>
        <w:ind w:left="6120" w:hanging="360"/>
      </w:pPr>
      <w:rPr>
        <w:rFonts w:ascii="Arial" w:hAnsi="Arial" w:hint="default"/>
      </w:rPr>
    </w:lvl>
    <w:lvl w:ilvl="8" w:tplc="ACC45FF8" w:tentative="1">
      <w:start w:val="1"/>
      <w:numFmt w:val="bullet"/>
      <w:lvlText w:val="•"/>
      <w:lvlJc w:val="left"/>
      <w:pPr>
        <w:tabs>
          <w:tab w:val="num" w:pos="6840"/>
        </w:tabs>
        <w:ind w:left="6840" w:hanging="360"/>
      </w:pPr>
      <w:rPr>
        <w:rFonts w:ascii="Arial" w:hAnsi="Arial" w:hint="default"/>
      </w:rPr>
    </w:lvl>
  </w:abstractNum>
  <w:num w:numId="1">
    <w:abstractNumId w:val="8"/>
  </w:num>
  <w:num w:numId="2">
    <w:abstractNumId w:val="3"/>
  </w:num>
  <w:num w:numId="3">
    <w:abstractNumId w:val="10"/>
  </w:num>
  <w:num w:numId="4">
    <w:abstractNumId w:val="12"/>
  </w:num>
  <w:num w:numId="5">
    <w:abstractNumId w:val="1"/>
  </w:num>
  <w:num w:numId="6">
    <w:abstractNumId w:val="13"/>
  </w:num>
  <w:num w:numId="7">
    <w:abstractNumId w:val="2"/>
  </w:num>
  <w:num w:numId="8">
    <w:abstractNumId w:val="0"/>
  </w:num>
  <w:num w:numId="9">
    <w:abstractNumId w:val="5"/>
  </w:num>
  <w:num w:numId="10">
    <w:abstractNumId w:val="7"/>
  </w:num>
  <w:num w:numId="11">
    <w:abstractNumId w:val="11"/>
  </w:num>
  <w:num w:numId="12">
    <w:abstractNumId w:val="6"/>
  </w:num>
  <w:num w:numId="13">
    <w:abstractNumId w:val="9"/>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8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EAD"/>
    <w:rsid w:val="0000280A"/>
    <w:rsid w:val="00003795"/>
    <w:rsid w:val="000043E9"/>
    <w:rsid w:val="0000507B"/>
    <w:rsid w:val="00005B8B"/>
    <w:rsid w:val="0000700D"/>
    <w:rsid w:val="00011944"/>
    <w:rsid w:val="00012A0E"/>
    <w:rsid w:val="00012D26"/>
    <w:rsid w:val="0001393B"/>
    <w:rsid w:val="00013AC3"/>
    <w:rsid w:val="00015CE7"/>
    <w:rsid w:val="00016A6A"/>
    <w:rsid w:val="00017770"/>
    <w:rsid w:val="00017B6F"/>
    <w:rsid w:val="00017D88"/>
    <w:rsid w:val="00021BFC"/>
    <w:rsid w:val="00021CED"/>
    <w:rsid w:val="00022939"/>
    <w:rsid w:val="00022964"/>
    <w:rsid w:val="000231C6"/>
    <w:rsid w:val="000235A6"/>
    <w:rsid w:val="00023F26"/>
    <w:rsid w:val="00024815"/>
    <w:rsid w:val="00025800"/>
    <w:rsid w:val="0002595C"/>
    <w:rsid w:val="000262B9"/>
    <w:rsid w:val="0002638C"/>
    <w:rsid w:val="00026DF1"/>
    <w:rsid w:val="000279F4"/>
    <w:rsid w:val="00030B09"/>
    <w:rsid w:val="00030D15"/>
    <w:rsid w:val="00032669"/>
    <w:rsid w:val="00032CB5"/>
    <w:rsid w:val="00034309"/>
    <w:rsid w:val="000346E5"/>
    <w:rsid w:val="0003588E"/>
    <w:rsid w:val="00035C7F"/>
    <w:rsid w:val="000360C4"/>
    <w:rsid w:val="0003695A"/>
    <w:rsid w:val="00037A84"/>
    <w:rsid w:val="00037E22"/>
    <w:rsid w:val="00040ADE"/>
    <w:rsid w:val="00042116"/>
    <w:rsid w:val="00042F2B"/>
    <w:rsid w:val="00043549"/>
    <w:rsid w:val="00043F39"/>
    <w:rsid w:val="00044714"/>
    <w:rsid w:val="000454A9"/>
    <w:rsid w:val="00045A69"/>
    <w:rsid w:val="00046031"/>
    <w:rsid w:val="000474D4"/>
    <w:rsid w:val="000504CA"/>
    <w:rsid w:val="00050AEF"/>
    <w:rsid w:val="00050DE1"/>
    <w:rsid w:val="00052300"/>
    <w:rsid w:val="00052A0B"/>
    <w:rsid w:val="0005305E"/>
    <w:rsid w:val="0005384D"/>
    <w:rsid w:val="0005470A"/>
    <w:rsid w:val="00056924"/>
    <w:rsid w:val="000612AF"/>
    <w:rsid w:val="00061307"/>
    <w:rsid w:val="0006136D"/>
    <w:rsid w:val="00061DFF"/>
    <w:rsid w:val="000639E8"/>
    <w:rsid w:val="00064D6F"/>
    <w:rsid w:val="00066DA5"/>
    <w:rsid w:val="00067513"/>
    <w:rsid w:val="000675AA"/>
    <w:rsid w:val="00071D30"/>
    <w:rsid w:val="000720C4"/>
    <w:rsid w:val="00072971"/>
    <w:rsid w:val="000729F8"/>
    <w:rsid w:val="00072D2F"/>
    <w:rsid w:val="00073883"/>
    <w:rsid w:val="00074F4A"/>
    <w:rsid w:val="00075923"/>
    <w:rsid w:val="00077EB3"/>
    <w:rsid w:val="00080780"/>
    <w:rsid w:val="00080E6B"/>
    <w:rsid w:val="000815DF"/>
    <w:rsid w:val="0008273A"/>
    <w:rsid w:val="00082938"/>
    <w:rsid w:val="00082B1B"/>
    <w:rsid w:val="000831CC"/>
    <w:rsid w:val="000841FD"/>
    <w:rsid w:val="00084418"/>
    <w:rsid w:val="00084860"/>
    <w:rsid w:val="00085545"/>
    <w:rsid w:val="00085B70"/>
    <w:rsid w:val="000862A4"/>
    <w:rsid w:val="00086EE6"/>
    <w:rsid w:val="00086F92"/>
    <w:rsid w:val="00087B6B"/>
    <w:rsid w:val="000908D9"/>
    <w:rsid w:val="00091207"/>
    <w:rsid w:val="000918C0"/>
    <w:rsid w:val="00092585"/>
    <w:rsid w:val="000928FC"/>
    <w:rsid w:val="000929E8"/>
    <w:rsid w:val="00093510"/>
    <w:rsid w:val="000942C6"/>
    <w:rsid w:val="0009554A"/>
    <w:rsid w:val="000962AA"/>
    <w:rsid w:val="0009652F"/>
    <w:rsid w:val="00096B4F"/>
    <w:rsid w:val="00096C13"/>
    <w:rsid w:val="000A100E"/>
    <w:rsid w:val="000A1265"/>
    <w:rsid w:val="000A14BB"/>
    <w:rsid w:val="000A1B2C"/>
    <w:rsid w:val="000A2AEC"/>
    <w:rsid w:val="000A3021"/>
    <w:rsid w:val="000A540C"/>
    <w:rsid w:val="000A567D"/>
    <w:rsid w:val="000A5FBF"/>
    <w:rsid w:val="000A643B"/>
    <w:rsid w:val="000A6855"/>
    <w:rsid w:val="000B0067"/>
    <w:rsid w:val="000B1141"/>
    <w:rsid w:val="000B1585"/>
    <w:rsid w:val="000B2AD9"/>
    <w:rsid w:val="000B3FA1"/>
    <w:rsid w:val="000B5F34"/>
    <w:rsid w:val="000B73B1"/>
    <w:rsid w:val="000B76D8"/>
    <w:rsid w:val="000C2448"/>
    <w:rsid w:val="000C529A"/>
    <w:rsid w:val="000C5610"/>
    <w:rsid w:val="000C570A"/>
    <w:rsid w:val="000C678D"/>
    <w:rsid w:val="000C7457"/>
    <w:rsid w:val="000C7B46"/>
    <w:rsid w:val="000D01AF"/>
    <w:rsid w:val="000D0AD0"/>
    <w:rsid w:val="000D18EC"/>
    <w:rsid w:val="000D1AD2"/>
    <w:rsid w:val="000D2828"/>
    <w:rsid w:val="000D28A3"/>
    <w:rsid w:val="000D3010"/>
    <w:rsid w:val="000D4429"/>
    <w:rsid w:val="000D4816"/>
    <w:rsid w:val="000D51E3"/>
    <w:rsid w:val="000D7700"/>
    <w:rsid w:val="000E0045"/>
    <w:rsid w:val="000E0A10"/>
    <w:rsid w:val="000E25D9"/>
    <w:rsid w:val="000E26BD"/>
    <w:rsid w:val="000E3E94"/>
    <w:rsid w:val="000E4512"/>
    <w:rsid w:val="000E4D72"/>
    <w:rsid w:val="000E596C"/>
    <w:rsid w:val="000E5F99"/>
    <w:rsid w:val="000E67D0"/>
    <w:rsid w:val="000E6D4B"/>
    <w:rsid w:val="000E7763"/>
    <w:rsid w:val="000E7E69"/>
    <w:rsid w:val="000F0BF5"/>
    <w:rsid w:val="000F0D32"/>
    <w:rsid w:val="000F0D7C"/>
    <w:rsid w:val="000F13AB"/>
    <w:rsid w:val="000F18E7"/>
    <w:rsid w:val="000F2230"/>
    <w:rsid w:val="000F41AF"/>
    <w:rsid w:val="000F4E48"/>
    <w:rsid w:val="000F502F"/>
    <w:rsid w:val="000F519D"/>
    <w:rsid w:val="000F5839"/>
    <w:rsid w:val="000F65D1"/>
    <w:rsid w:val="000F69BC"/>
    <w:rsid w:val="000F7ECB"/>
    <w:rsid w:val="00100A8C"/>
    <w:rsid w:val="00101573"/>
    <w:rsid w:val="00101F6A"/>
    <w:rsid w:val="001032B8"/>
    <w:rsid w:val="001033CE"/>
    <w:rsid w:val="00103C09"/>
    <w:rsid w:val="00103DA9"/>
    <w:rsid w:val="0010494F"/>
    <w:rsid w:val="00104A4E"/>
    <w:rsid w:val="001050F1"/>
    <w:rsid w:val="0010618D"/>
    <w:rsid w:val="00106708"/>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17896"/>
    <w:rsid w:val="001214AE"/>
    <w:rsid w:val="0012218B"/>
    <w:rsid w:val="00122190"/>
    <w:rsid w:val="0012244D"/>
    <w:rsid w:val="00122578"/>
    <w:rsid w:val="0012277A"/>
    <w:rsid w:val="00122A4E"/>
    <w:rsid w:val="00123649"/>
    <w:rsid w:val="00123B9C"/>
    <w:rsid w:val="00124776"/>
    <w:rsid w:val="00124C0A"/>
    <w:rsid w:val="00125A65"/>
    <w:rsid w:val="00125D1C"/>
    <w:rsid w:val="0012615B"/>
    <w:rsid w:val="00126B70"/>
    <w:rsid w:val="00126E1A"/>
    <w:rsid w:val="00127A24"/>
    <w:rsid w:val="00130357"/>
    <w:rsid w:val="001305D4"/>
    <w:rsid w:val="001319D3"/>
    <w:rsid w:val="00131AFF"/>
    <w:rsid w:val="001336CE"/>
    <w:rsid w:val="001351DC"/>
    <w:rsid w:val="001351EB"/>
    <w:rsid w:val="0013551B"/>
    <w:rsid w:val="00135B2E"/>
    <w:rsid w:val="00136607"/>
    <w:rsid w:val="00136C29"/>
    <w:rsid w:val="00137756"/>
    <w:rsid w:val="001405E2"/>
    <w:rsid w:val="00140A06"/>
    <w:rsid w:val="00140F5A"/>
    <w:rsid w:val="00141D31"/>
    <w:rsid w:val="00142022"/>
    <w:rsid w:val="00142C59"/>
    <w:rsid w:val="00143395"/>
    <w:rsid w:val="00143513"/>
    <w:rsid w:val="001448F1"/>
    <w:rsid w:val="00144FDD"/>
    <w:rsid w:val="00145855"/>
    <w:rsid w:val="001462AC"/>
    <w:rsid w:val="0014641A"/>
    <w:rsid w:val="001469A7"/>
    <w:rsid w:val="0014704B"/>
    <w:rsid w:val="00147BA1"/>
    <w:rsid w:val="00150BB0"/>
    <w:rsid w:val="001512D7"/>
    <w:rsid w:val="00151542"/>
    <w:rsid w:val="00151C30"/>
    <w:rsid w:val="0015419D"/>
    <w:rsid w:val="00154834"/>
    <w:rsid w:val="0015535C"/>
    <w:rsid w:val="0015537A"/>
    <w:rsid w:val="00155439"/>
    <w:rsid w:val="001559A5"/>
    <w:rsid w:val="001561AE"/>
    <w:rsid w:val="0015692C"/>
    <w:rsid w:val="00157012"/>
    <w:rsid w:val="00157E80"/>
    <w:rsid w:val="00161C73"/>
    <w:rsid w:val="00162C2A"/>
    <w:rsid w:val="00164921"/>
    <w:rsid w:val="00166E70"/>
    <w:rsid w:val="001671D2"/>
    <w:rsid w:val="00171186"/>
    <w:rsid w:val="001718C6"/>
    <w:rsid w:val="001719B3"/>
    <w:rsid w:val="00171BED"/>
    <w:rsid w:val="00172420"/>
    <w:rsid w:val="001746E5"/>
    <w:rsid w:val="00174AE0"/>
    <w:rsid w:val="001757AD"/>
    <w:rsid w:val="001806D8"/>
    <w:rsid w:val="00180D26"/>
    <w:rsid w:val="001812C4"/>
    <w:rsid w:val="00182E6B"/>
    <w:rsid w:val="00183885"/>
    <w:rsid w:val="00183928"/>
    <w:rsid w:val="00183976"/>
    <w:rsid w:val="00183EAD"/>
    <w:rsid w:val="00184885"/>
    <w:rsid w:val="0018644C"/>
    <w:rsid w:val="0019036D"/>
    <w:rsid w:val="001903EE"/>
    <w:rsid w:val="00190CAB"/>
    <w:rsid w:val="00190FFA"/>
    <w:rsid w:val="00194778"/>
    <w:rsid w:val="00194ECB"/>
    <w:rsid w:val="00195DB4"/>
    <w:rsid w:val="001966C3"/>
    <w:rsid w:val="00197078"/>
    <w:rsid w:val="00197BCB"/>
    <w:rsid w:val="001A0EE5"/>
    <w:rsid w:val="001A1CBF"/>
    <w:rsid w:val="001A4DDC"/>
    <w:rsid w:val="001A4F4F"/>
    <w:rsid w:val="001A58EC"/>
    <w:rsid w:val="001A5F89"/>
    <w:rsid w:val="001A7E58"/>
    <w:rsid w:val="001A7FF7"/>
    <w:rsid w:val="001B0269"/>
    <w:rsid w:val="001B040D"/>
    <w:rsid w:val="001B3183"/>
    <w:rsid w:val="001B386D"/>
    <w:rsid w:val="001B4070"/>
    <w:rsid w:val="001B4872"/>
    <w:rsid w:val="001B59B3"/>
    <w:rsid w:val="001B6338"/>
    <w:rsid w:val="001B6922"/>
    <w:rsid w:val="001B73CC"/>
    <w:rsid w:val="001C0C88"/>
    <w:rsid w:val="001C0D98"/>
    <w:rsid w:val="001C0DAE"/>
    <w:rsid w:val="001C2EE7"/>
    <w:rsid w:val="001C3052"/>
    <w:rsid w:val="001C3546"/>
    <w:rsid w:val="001C4702"/>
    <w:rsid w:val="001C5501"/>
    <w:rsid w:val="001C7FA6"/>
    <w:rsid w:val="001D18F3"/>
    <w:rsid w:val="001D33F4"/>
    <w:rsid w:val="001D34FA"/>
    <w:rsid w:val="001D3AAA"/>
    <w:rsid w:val="001D3AB9"/>
    <w:rsid w:val="001D4399"/>
    <w:rsid w:val="001D43D4"/>
    <w:rsid w:val="001D6888"/>
    <w:rsid w:val="001D6BBD"/>
    <w:rsid w:val="001E0408"/>
    <w:rsid w:val="001E1E2E"/>
    <w:rsid w:val="001E4305"/>
    <w:rsid w:val="001E5436"/>
    <w:rsid w:val="001E6D53"/>
    <w:rsid w:val="001E7933"/>
    <w:rsid w:val="001F2AE3"/>
    <w:rsid w:val="001F2F1D"/>
    <w:rsid w:val="001F3003"/>
    <w:rsid w:val="001F3816"/>
    <w:rsid w:val="001F3951"/>
    <w:rsid w:val="001F4602"/>
    <w:rsid w:val="001F72BD"/>
    <w:rsid w:val="001F76E9"/>
    <w:rsid w:val="002004BB"/>
    <w:rsid w:val="00200596"/>
    <w:rsid w:val="00201520"/>
    <w:rsid w:val="00201737"/>
    <w:rsid w:val="00201FB4"/>
    <w:rsid w:val="00202BCD"/>
    <w:rsid w:val="0020351F"/>
    <w:rsid w:val="00203C4D"/>
    <w:rsid w:val="00203D36"/>
    <w:rsid w:val="00204522"/>
    <w:rsid w:val="00204776"/>
    <w:rsid w:val="00205458"/>
    <w:rsid w:val="00205601"/>
    <w:rsid w:val="002056EE"/>
    <w:rsid w:val="00207069"/>
    <w:rsid w:val="002078A6"/>
    <w:rsid w:val="0021038D"/>
    <w:rsid w:val="00211F64"/>
    <w:rsid w:val="00213971"/>
    <w:rsid w:val="002139A9"/>
    <w:rsid w:val="00213D28"/>
    <w:rsid w:val="00213F23"/>
    <w:rsid w:val="002144C8"/>
    <w:rsid w:val="0021453F"/>
    <w:rsid w:val="0021486B"/>
    <w:rsid w:val="00214B13"/>
    <w:rsid w:val="00215483"/>
    <w:rsid w:val="00215C44"/>
    <w:rsid w:val="00215E1E"/>
    <w:rsid w:val="00216428"/>
    <w:rsid w:val="002167A7"/>
    <w:rsid w:val="00216A48"/>
    <w:rsid w:val="002211C9"/>
    <w:rsid w:val="0022261C"/>
    <w:rsid w:val="00222B67"/>
    <w:rsid w:val="00222D66"/>
    <w:rsid w:val="002265CB"/>
    <w:rsid w:val="0022679D"/>
    <w:rsid w:val="00227A68"/>
    <w:rsid w:val="002302A3"/>
    <w:rsid w:val="002323E1"/>
    <w:rsid w:val="00232417"/>
    <w:rsid w:val="00232F36"/>
    <w:rsid w:val="00232F73"/>
    <w:rsid w:val="00233630"/>
    <w:rsid w:val="00233C2C"/>
    <w:rsid w:val="00233D80"/>
    <w:rsid w:val="0023438C"/>
    <w:rsid w:val="002355E9"/>
    <w:rsid w:val="0023571C"/>
    <w:rsid w:val="00235EE7"/>
    <w:rsid w:val="0023701E"/>
    <w:rsid w:val="002370E1"/>
    <w:rsid w:val="00237CF2"/>
    <w:rsid w:val="0024083E"/>
    <w:rsid w:val="002409AA"/>
    <w:rsid w:val="00240F55"/>
    <w:rsid w:val="002414AB"/>
    <w:rsid w:val="00241773"/>
    <w:rsid w:val="002426ED"/>
    <w:rsid w:val="00244785"/>
    <w:rsid w:val="00246290"/>
    <w:rsid w:val="0024768A"/>
    <w:rsid w:val="002476C8"/>
    <w:rsid w:val="00247B81"/>
    <w:rsid w:val="00247D04"/>
    <w:rsid w:val="00247EEC"/>
    <w:rsid w:val="002511BA"/>
    <w:rsid w:val="00251CFA"/>
    <w:rsid w:val="0025273D"/>
    <w:rsid w:val="002538F5"/>
    <w:rsid w:val="00253CE9"/>
    <w:rsid w:val="00254907"/>
    <w:rsid w:val="00254B08"/>
    <w:rsid w:val="002575A2"/>
    <w:rsid w:val="00257BF4"/>
    <w:rsid w:val="00257E64"/>
    <w:rsid w:val="0026064B"/>
    <w:rsid w:val="00260896"/>
    <w:rsid w:val="002611AF"/>
    <w:rsid w:val="002611B2"/>
    <w:rsid w:val="00261621"/>
    <w:rsid w:val="00261848"/>
    <w:rsid w:val="00261DC1"/>
    <w:rsid w:val="00262282"/>
    <w:rsid w:val="00262987"/>
    <w:rsid w:val="00262C0C"/>
    <w:rsid w:val="002633F8"/>
    <w:rsid w:val="002639FA"/>
    <w:rsid w:val="00264730"/>
    <w:rsid w:val="00266C8D"/>
    <w:rsid w:val="002675A1"/>
    <w:rsid w:val="00267C43"/>
    <w:rsid w:val="0027004A"/>
    <w:rsid w:val="002702A8"/>
    <w:rsid w:val="00270ECC"/>
    <w:rsid w:val="00271236"/>
    <w:rsid w:val="002712C6"/>
    <w:rsid w:val="002715F5"/>
    <w:rsid w:val="002723C5"/>
    <w:rsid w:val="00272536"/>
    <w:rsid w:val="00272BE1"/>
    <w:rsid w:val="00272EB2"/>
    <w:rsid w:val="00273875"/>
    <w:rsid w:val="002751DF"/>
    <w:rsid w:val="00275643"/>
    <w:rsid w:val="002777A3"/>
    <w:rsid w:val="00277BCD"/>
    <w:rsid w:val="00277E9D"/>
    <w:rsid w:val="0028019E"/>
    <w:rsid w:val="002814DD"/>
    <w:rsid w:val="00281A25"/>
    <w:rsid w:val="00281A2D"/>
    <w:rsid w:val="002820E8"/>
    <w:rsid w:val="00283E3F"/>
    <w:rsid w:val="00284859"/>
    <w:rsid w:val="00284DAD"/>
    <w:rsid w:val="0028530F"/>
    <w:rsid w:val="00286BB0"/>
    <w:rsid w:val="00287492"/>
    <w:rsid w:val="002902A9"/>
    <w:rsid w:val="00290A2C"/>
    <w:rsid w:val="00290FF3"/>
    <w:rsid w:val="00291B83"/>
    <w:rsid w:val="002932C4"/>
    <w:rsid w:val="00293E95"/>
    <w:rsid w:val="002948A4"/>
    <w:rsid w:val="00294F16"/>
    <w:rsid w:val="002952A9"/>
    <w:rsid w:val="00295793"/>
    <w:rsid w:val="0029594F"/>
    <w:rsid w:val="002960BC"/>
    <w:rsid w:val="00296997"/>
    <w:rsid w:val="002970C0"/>
    <w:rsid w:val="00297813"/>
    <w:rsid w:val="002A08FE"/>
    <w:rsid w:val="002A09DE"/>
    <w:rsid w:val="002A0E0C"/>
    <w:rsid w:val="002A1248"/>
    <w:rsid w:val="002A13BB"/>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76BD"/>
    <w:rsid w:val="002B78CF"/>
    <w:rsid w:val="002C0DDC"/>
    <w:rsid w:val="002C2394"/>
    <w:rsid w:val="002C3AA1"/>
    <w:rsid w:val="002C3F3D"/>
    <w:rsid w:val="002C43B1"/>
    <w:rsid w:val="002C4DD5"/>
    <w:rsid w:val="002C4F27"/>
    <w:rsid w:val="002C5143"/>
    <w:rsid w:val="002C5A4B"/>
    <w:rsid w:val="002C5CE6"/>
    <w:rsid w:val="002C6127"/>
    <w:rsid w:val="002C62A5"/>
    <w:rsid w:val="002C65B6"/>
    <w:rsid w:val="002C69C1"/>
    <w:rsid w:val="002D08AB"/>
    <w:rsid w:val="002D0CD0"/>
    <w:rsid w:val="002D10A7"/>
    <w:rsid w:val="002D111B"/>
    <w:rsid w:val="002D4505"/>
    <w:rsid w:val="002D4CC7"/>
    <w:rsid w:val="002D4FBE"/>
    <w:rsid w:val="002D6A81"/>
    <w:rsid w:val="002D7AAE"/>
    <w:rsid w:val="002E301E"/>
    <w:rsid w:val="002E3311"/>
    <w:rsid w:val="002E37E8"/>
    <w:rsid w:val="002E385A"/>
    <w:rsid w:val="002E4272"/>
    <w:rsid w:val="002E582C"/>
    <w:rsid w:val="002E7011"/>
    <w:rsid w:val="002F0FC5"/>
    <w:rsid w:val="002F16B8"/>
    <w:rsid w:val="002F1C8C"/>
    <w:rsid w:val="002F1F72"/>
    <w:rsid w:val="002F28ED"/>
    <w:rsid w:val="002F2E44"/>
    <w:rsid w:val="002F3077"/>
    <w:rsid w:val="002F52BD"/>
    <w:rsid w:val="002F57EA"/>
    <w:rsid w:val="002F66A2"/>
    <w:rsid w:val="002F6B07"/>
    <w:rsid w:val="002F7590"/>
    <w:rsid w:val="00300510"/>
    <w:rsid w:val="003009DE"/>
    <w:rsid w:val="00300B85"/>
    <w:rsid w:val="00302029"/>
    <w:rsid w:val="00302386"/>
    <w:rsid w:val="003026B7"/>
    <w:rsid w:val="00302E72"/>
    <w:rsid w:val="00303ABB"/>
    <w:rsid w:val="00304CD1"/>
    <w:rsid w:val="00305A5F"/>
    <w:rsid w:val="00305EFE"/>
    <w:rsid w:val="00306902"/>
    <w:rsid w:val="0030770F"/>
    <w:rsid w:val="003078DA"/>
    <w:rsid w:val="0031039C"/>
    <w:rsid w:val="003103F9"/>
    <w:rsid w:val="0031113C"/>
    <w:rsid w:val="00312E13"/>
    <w:rsid w:val="00313D4A"/>
    <w:rsid w:val="003159FF"/>
    <w:rsid w:val="00315FCE"/>
    <w:rsid w:val="00316389"/>
    <w:rsid w:val="003166A7"/>
    <w:rsid w:val="003166CB"/>
    <w:rsid w:val="00316861"/>
    <w:rsid w:val="003206DF"/>
    <w:rsid w:val="00320919"/>
    <w:rsid w:val="0032097B"/>
    <w:rsid w:val="00321891"/>
    <w:rsid w:val="00323647"/>
    <w:rsid w:val="00324198"/>
    <w:rsid w:val="00324260"/>
    <w:rsid w:val="00324D06"/>
    <w:rsid w:val="003250AD"/>
    <w:rsid w:val="0032672E"/>
    <w:rsid w:val="00326AA4"/>
    <w:rsid w:val="003270EE"/>
    <w:rsid w:val="00330265"/>
    <w:rsid w:val="003331BE"/>
    <w:rsid w:val="00333682"/>
    <w:rsid w:val="00333C34"/>
    <w:rsid w:val="00334447"/>
    <w:rsid w:val="003361D2"/>
    <w:rsid w:val="00336A43"/>
    <w:rsid w:val="00340044"/>
    <w:rsid w:val="00340694"/>
    <w:rsid w:val="00341DA3"/>
    <w:rsid w:val="0034342D"/>
    <w:rsid w:val="00345188"/>
    <w:rsid w:val="003461A5"/>
    <w:rsid w:val="0034635A"/>
    <w:rsid w:val="00346E82"/>
    <w:rsid w:val="003472A9"/>
    <w:rsid w:val="003476B3"/>
    <w:rsid w:val="00350AFC"/>
    <w:rsid w:val="00351661"/>
    <w:rsid w:val="00351CD3"/>
    <w:rsid w:val="00352D80"/>
    <w:rsid w:val="00353166"/>
    <w:rsid w:val="00353304"/>
    <w:rsid w:val="00353730"/>
    <w:rsid w:val="00353BF9"/>
    <w:rsid w:val="00354888"/>
    <w:rsid w:val="00355968"/>
    <w:rsid w:val="003567AB"/>
    <w:rsid w:val="0035713D"/>
    <w:rsid w:val="00360B6A"/>
    <w:rsid w:val="00360FAE"/>
    <w:rsid w:val="00362532"/>
    <w:rsid w:val="00363A08"/>
    <w:rsid w:val="00364E13"/>
    <w:rsid w:val="00364F5B"/>
    <w:rsid w:val="00365041"/>
    <w:rsid w:val="003662E5"/>
    <w:rsid w:val="00366435"/>
    <w:rsid w:val="003665F7"/>
    <w:rsid w:val="00366F54"/>
    <w:rsid w:val="0036768B"/>
    <w:rsid w:val="00367B3C"/>
    <w:rsid w:val="00371F49"/>
    <w:rsid w:val="003746FE"/>
    <w:rsid w:val="00375AA5"/>
    <w:rsid w:val="00375E6C"/>
    <w:rsid w:val="00376A9E"/>
    <w:rsid w:val="00377594"/>
    <w:rsid w:val="00377E88"/>
    <w:rsid w:val="00382146"/>
    <w:rsid w:val="003830AE"/>
    <w:rsid w:val="003839C1"/>
    <w:rsid w:val="00384307"/>
    <w:rsid w:val="00384BD5"/>
    <w:rsid w:val="003859D6"/>
    <w:rsid w:val="0038682B"/>
    <w:rsid w:val="00386A85"/>
    <w:rsid w:val="0038770D"/>
    <w:rsid w:val="00387756"/>
    <w:rsid w:val="00390047"/>
    <w:rsid w:val="003914D4"/>
    <w:rsid w:val="00391BA5"/>
    <w:rsid w:val="00391C66"/>
    <w:rsid w:val="00393553"/>
    <w:rsid w:val="0039485B"/>
    <w:rsid w:val="00394A86"/>
    <w:rsid w:val="00394BE4"/>
    <w:rsid w:val="00394C69"/>
    <w:rsid w:val="00395410"/>
    <w:rsid w:val="00395840"/>
    <w:rsid w:val="0039622F"/>
    <w:rsid w:val="00396454"/>
    <w:rsid w:val="003965E9"/>
    <w:rsid w:val="00396EA3"/>
    <w:rsid w:val="00397E66"/>
    <w:rsid w:val="003A0AC3"/>
    <w:rsid w:val="003A0F76"/>
    <w:rsid w:val="003A130A"/>
    <w:rsid w:val="003A13FC"/>
    <w:rsid w:val="003A1B9C"/>
    <w:rsid w:val="003A1D5C"/>
    <w:rsid w:val="003A3B8E"/>
    <w:rsid w:val="003A43B2"/>
    <w:rsid w:val="003A4B8A"/>
    <w:rsid w:val="003A4CD3"/>
    <w:rsid w:val="003A50DA"/>
    <w:rsid w:val="003A59FD"/>
    <w:rsid w:val="003A64B0"/>
    <w:rsid w:val="003A6920"/>
    <w:rsid w:val="003A764A"/>
    <w:rsid w:val="003A7CBC"/>
    <w:rsid w:val="003B0446"/>
    <w:rsid w:val="003B0D94"/>
    <w:rsid w:val="003B112E"/>
    <w:rsid w:val="003B1188"/>
    <w:rsid w:val="003B24BF"/>
    <w:rsid w:val="003B3BD2"/>
    <w:rsid w:val="003B439A"/>
    <w:rsid w:val="003B4BF2"/>
    <w:rsid w:val="003B67D9"/>
    <w:rsid w:val="003B6F17"/>
    <w:rsid w:val="003B79F9"/>
    <w:rsid w:val="003B7DF7"/>
    <w:rsid w:val="003C04F9"/>
    <w:rsid w:val="003C0F31"/>
    <w:rsid w:val="003C1125"/>
    <w:rsid w:val="003C1262"/>
    <w:rsid w:val="003C1DD3"/>
    <w:rsid w:val="003C20D7"/>
    <w:rsid w:val="003C3383"/>
    <w:rsid w:val="003C3FA8"/>
    <w:rsid w:val="003C6ADC"/>
    <w:rsid w:val="003C74C1"/>
    <w:rsid w:val="003D03B1"/>
    <w:rsid w:val="003D0ECF"/>
    <w:rsid w:val="003D14DC"/>
    <w:rsid w:val="003D1862"/>
    <w:rsid w:val="003D1CFC"/>
    <w:rsid w:val="003D3783"/>
    <w:rsid w:val="003D3855"/>
    <w:rsid w:val="003D4324"/>
    <w:rsid w:val="003D4F3B"/>
    <w:rsid w:val="003D54AC"/>
    <w:rsid w:val="003D661F"/>
    <w:rsid w:val="003D6D15"/>
    <w:rsid w:val="003E026E"/>
    <w:rsid w:val="003E18EA"/>
    <w:rsid w:val="003E265B"/>
    <w:rsid w:val="003E28FD"/>
    <w:rsid w:val="003E3E14"/>
    <w:rsid w:val="003E43B7"/>
    <w:rsid w:val="003E44CA"/>
    <w:rsid w:val="003E4CBC"/>
    <w:rsid w:val="003E50F4"/>
    <w:rsid w:val="003E722B"/>
    <w:rsid w:val="003F0660"/>
    <w:rsid w:val="003F0CE2"/>
    <w:rsid w:val="003F1793"/>
    <w:rsid w:val="003F1B89"/>
    <w:rsid w:val="003F2F25"/>
    <w:rsid w:val="003F3F92"/>
    <w:rsid w:val="003F4FF8"/>
    <w:rsid w:val="003F5141"/>
    <w:rsid w:val="003F6DA5"/>
    <w:rsid w:val="003F6DEF"/>
    <w:rsid w:val="003F7D69"/>
    <w:rsid w:val="00400447"/>
    <w:rsid w:val="00400E83"/>
    <w:rsid w:val="00402BEB"/>
    <w:rsid w:val="00403E05"/>
    <w:rsid w:val="00403F36"/>
    <w:rsid w:val="00403F3D"/>
    <w:rsid w:val="00404599"/>
    <w:rsid w:val="00404C2F"/>
    <w:rsid w:val="00404D78"/>
    <w:rsid w:val="004061AE"/>
    <w:rsid w:val="004064D5"/>
    <w:rsid w:val="004064E4"/>
    <w:rsid w:val="00407631"/>
    <w:rsid w:val="0041164F"/>
    <w:rsid w:val="004121D4"/>
    <w:rsid w:val="004127B2"/>
    <w:rsid w:val="00412C22"/>
    <w:rsid w:val="0041340A"/>
    <w:rsid w:val="0041483A"/>
    <w:rsid w:val="004149F8"/>
    <w:rsid w:val="00414CE5"/>
    <w:rsid w:val="004162CD"/>
    <w:rsid w:val="0041759A"/>
    <w:rsid w:val="004203C3"/>
    <w:rsid w:val="00420E9D"/>
    <w:rsid w:val="00421F7D"/>
    <w:rsid w:val="00424E71"/>
    <w:rsid w:val="00425EAC"/>
    <w:rsid w:val="00426B00"/>
    <w:rsid w:val="004273B0"/>
    <w:rsid w:val="004302FD"/>
    <w:rsid w:val="004303A5"/>
    <w:rsid w:val="00432734"/>
    <w:rsid w:val="00432E9E"/>
    <w:rsid w:val="00432F9A"/>
    <w:rsid w:val="004347C9"/>
    <w:rsid w:val="00435B76"/>
    <w:rsid w:val="00436397"/>
    <w:rsid w:val="00437BB4"/>
    <w:rsid w:val="004406EF"/>
    <w:rsid w:val="00440AC1"/>
    <w:rsid w:val="00441161"/>
    <w:rsid w:val="004433AE"/>
    <w:rsid w:val="004433F4"/>
    <w:rsid w:val="00443621"/>
    <w:rsid w:val="00443818"/>
    <w:rsid w:val="00443848"/>
    <w:rsid w:val="004444AB"/>
    <w:rsid w:val="00444911"/>
    <w:rsid w:val="00444C40"/>
    <w:rsid w:val="00445215"/>
    <w:rsid w:val="004465D0"/>
    <w:rsid w:val="00446AD0"/>
    <w:rsid w:val="00446F99"/>
    <w:rsid w:val="004472C0"/>
    <w:rsid w:val="00447317"/>
    <w:rsid w:val="004504C9"/>
    <w:rsid w:val="00453BD8"/>
    <w:rsid w:val="00453D36"/>
    <w:rsid w:val="00454161"/>
    <w:rsid w:val="004541E5"/>
    <w:rsid w:val="0045428D"/>
    <w:rsid w:val="004544D6"/>
    <w:rsid w:val="00454640"/>
    <w:rsid w:val="00455618"/>
    <w:rsid w:val="004563EB"/>
    <w:rsid w:val="00456532"/>
    <w:rsid w:val="00456B54"/>
    <w:rsid w:val="00457F94"/>
    <w:rsid w:val="004609D7"/>
    <w:rsid w:val="00461C87"/>
    <w:rsid w:val="00461D6A"/>
    <w:rsid w:val="00461D8F"/>
    <w:rsid w:val="00462017"/>
    <w:rsid w:val="0046237A"/>
    <w:rsid w:val="00463C01"/>
    <w:rsid w:val="004644F2"/>
    <w:rsid w:val="00464FBA"/>
    <w:rsid w:val="0046540F"/>
    <w:rsid w:val="00466083"/>
    <w:rsid w:val="004667D5"/>
    <w:rsid w:val="00466C24"/>
    <w:rsid w:val="00466C38"/>
    <w:rsid w:val="004673F2"/>
    <w:rsid w:val="004705F8"/>
    <w:rsid w:val="00471085"/>
    <w:rsid w:val="00471253"/>
    <w:rsid w:val="0047488B"/>
    <w:rsid w:val="00474FE5"/>
    <w:rsid w:val="004753FB"/>
    <w:rsid w:val="004756E9"/>
    <w:rsid w:val="00475E8D"/>
    <w:rsid w:val="00476AA3"/>
    <w:rsid w:val="00476B05"/>
    <w:rsid w:val="00480D4E"/>
    <w:rsid w:val="00481250"/>
    <w:rsid w:val="0048230C"/>
    <w:rsid w:val="004831C3"/>
    <w:rsid w:val="004845B3"/>
    <w:rsid w:val="00484A20"/>
    <w:rsid w:val="00484C7E"/>
    <w:rsid w:val="0048786A"/>
    <w:rsid w:val="0049092C"/>
    <w:rsid w:val="004917DA"/>
    <w:rsid w:val="00491AAB"/>
    <w:rsid w:val="004921DB"/>
    <w:rsid w:val="00492A04"/>
    <w:rsid w:val="00493100"/>
    <w:rsid w:val="004942EA"/>
    <w:rsid w:val="00496370"/>
    <w:rsid w:val="004968EE"/>
    <w:rsid w:val="00496BCE"/>
    <w:rsid w:val="00496F77"/>
    <w:rsid w:val="00496FBC"/>
    <w:rsid w:val="004972C2"/>
    <w:rsid w:val="004976DB"/>
    <w:rsid w:val="004A03C6"/>
    <w:rsid w:val="004A12D8"/>
    <w:rsid w:val="004A25E2"/>
    <w:rsid w:val="004A3685"/>
    <w:rsid w:val="004A4A5D"/>
    <w:rsid w:val="004A5276"/>
    <w:rsid w:val="004A5920"/>
    <w:rsid w:val="004A5D39"/>
    <w:rsid w:val="004A5DDF"/>
    <w:rsid w:val="004A6DFB"/>
    <w:rsid w:val="004B38D3"/>
    <w:rsid w:val="004B3FC9"/>
    <w:rsid w:val="004B42AA"/>
    <w:rsid w:val="004B7EC4"/>
    <w:rsid w:val="004C0CED"/>
    <w:rsid w:val="004C1484"/>
    <w:rsid w:val="004C198D"/>
    <w:rsid w:val="004C1A68"/>
    <w:rsid w:val="004C1DE2"/>
    <w:rsid w:val="004C22E6"/>
    <w:rsid w:val="004C23AA"/>
    <w:rsid w:val="004C38FC"/>
    <w:rsid w:val="004C43F6"/>
    <w:rsid w:val="004C5497"/>
    <w:rsid w:val="004C5EB4"/>
    <w:rsid w:val="004C62F1"/>
    <w:rsid w:val="004C6D66"/>
    <w:rsid w:val="004D01C2"/>
    <w:rsid w:val="004D0DED"/>
    <w:rsid w:val="004D17AA"/>
    <w:rsid w:val="004D198B"/>
    <w:rsid w:val="004D2200"/>
    <w:rsid w:val="004D252A"/>
    <w:rsid w:val="004D25D0"/>
    <w:rsid w:val="004D2734"/>
    <w:rsid w:val="004D2EB4"/>
    <w:rsid w:val="004D3227"/>
    <w:rsid w:val="004D3585"/>
    <w:rsid w:val="004D43C9"/>
    <w:rsid w:val="004D4443"/>
    <w:rsid w:val="004D4918"/>
    <w:rsid w:val="004D5347"/>
    <w:rsid w:val="004D5395"/>
    <w:rsid w:val="004D59D7"/>
    <w:rsid w:val="004D5A8A"/>
    <w:rsid w:val="004D7B1C"/>
    <w:rsid w:val="004E1952"/>
    <w:rsid w:val="004E290C"/>
    <w:rsid w:val="004E34E5"/>
    <w:rsid w:val="004E7381"/>
    <w:rsid w:val="004E7E9B"/>
    <w:rsid w:val="004F12D3"/>
    <w:rsid w:val="004F1680"/>
    <w:rsid w:val="004F2126"/>
    <w:rsid w:val="004F2DA0"/>
    <w:rsid w:val="004F3DFA"/>
    <w:rsid w:val="004F4CD0"/>
    <w:rsid w:val="004F5668"/>
    <w:rsid w:val="004F6B1B"/>
    <w:rsid w:val="004F6C74"/>
    <w:rsid w:val="004F78D7"/>
    <w:rsid w:val="004F7A84"/>
    <w:rsid w:val="00501332"/>
    <w:rsid w:val="005032DF"/>
    <w:rsid w:val="00503664"/>
    <w:rsid w:val="00503774"/>
    <w:rsid w:val="005047A0"/>
    <w:rsid w:val="00504E96"/>
    <w:rsid w:val="0050500F"/>
    <w:rsid w:val="00506328"/>
    <w:rsid w:val="00506367"/>
    <w:rsid w:val="005076FB"/>
    <w:rsid w:val="005078AB"/>
    <w:rsid w:val="005101F1"/>
    <w:rsid w:val="005106A5"/>
    <w:rsid w:val="005116D8"/>
    <w:rsid w:val="005120C4"/>
    <w:rsid w:val="005120CB"/>
    <w:rsid w:val="005120D5"/>
    <w:rsid w:val="00512121"/>
    <w:rsid w:val="00512641"/>
    <w:rsid w:val="00512F56"/>
    <w:rsid w:val="00513BCD"/>
    <w:rsid w:val="0051435C"/>
    <w:rsid w:val="005145CD"/>
    <w:rsid w:val="005145D0"/>
    <w:rsid w:val="00515CEE"/>
    <w:rsid w:val="00515E30"/>
    <w:rsid w:val="0051697F"/>
    <w:rsid w:val="005171EF"/>
    <w:rsid w:val="0051745F"/>
    <w:rsid w:val="00517A40"/>
    <w:rsid w:val="00517E13"/>
    <w:rsid w:val="00517E95"/>
    <w:rsid w:val="00517EEB"/>
    <w:rsid w:val="005202EC"/>
    <w:rsid w:val="00520A12"/>
    <w:rsid w:val="00520AA9"/>
    <w:rsid w:val="00520B0B"/>
    <w:rsid w:val="00520FD7"/>
    <w:rsid w:val="00524044"/>
    <w:rsid w:val="00525526"/>
    <w:rsid w:val="005258B8"/>
    <w:rsid w:val="00526465"/>
    <w:rsid w:val="00526A97"/>
    <w:rsid w:val="005276CB"/>
    <w:rsid w:val="0052788D"/>
    <w:rsid w:val="00527894"/>
    <w:rsid w:val="00527B41"/>
    <w:rsid w:val="00527F36"/>
    <w:rsid w:val="00531535"/>
    <w:rsid w:val="0053295F"/>
    <w:rsid w:val="00532DE4"/>
    <w:rsid w:val="00532DF2"/>
    <w:rsid w:val="005341AC"/>
    <w:rsid w:val="00534C0E"/>
    <w:rsid w:val="005356C1"/>
    <w:rsid w:val="005359FD"/>
    <w:rsid w:val="00536405"/>
    <w:rsid w:val="00537C27"/>
    <w:rsid w:val="00540001"/>
    <w:rsid w:val="0054062E"/>
    <w:rsid w:val="00541ABE"/>
    <w:rsid w:val="00542DB9"/>
    <w:rsid w:val="00543422"/>
    <w:rsid w:val="00543517"/>
    <w:rsid w:val="00544820"/>
    <w:rsid w:val="005474B6"/>
    <w:rsid w:val="005501DA"/>
    <w:rsid w:val="00551860"/>
    <w:rsid w:val="005519E1"/>
    <w:rsid w:val="005520D7"/>
    <w:rsid w:val="00552796"/>
    <w:rsid w:val="005530E2"/>
    <w:rsid w:val="005536D9"/>
    <w:rsid w:val="00554509"/>
    <w:rsid w:val="00554561"/>
    <w:rsid w:val="00555925"/>
    <w:rsid w:val="00555E3D"/>
    <w:rsid w:val="00556610"/>
    <w:rsid w:val="00557837"/>
    <w:rsid w:val="00560427"/>
    <w:rsid w:val="005607A4"/>
    <w:rsid w:val="005610C7"/>
    <w:rsid w:val="00562430"/>
    <w:rsid w:val="005626D4"/>
    <w:rsid w:val="00562DA2"/>
    <w:rsid w:val="00563B11"/>
    <w:rsid w:val="00564251"/>
    <w:rsid w:val="00564D09"/>
    <w:rsid w:val="00565544"/>
    <w:rsid w:val="00565ACB"/>
    <w:rsid w:val="005677F2"/>
    <w:rsid w:val="0057173E"/>
    <w:rsid w:val="00571CF8"/>
    <w:rsid w:val="00572F67"/>
    <w:rsid w:val="00573568"/>
    <w:rsid w:val="005746A3"/>
    <w:rsid w:val="00574A71"/>
    <w:rsid w:val="00575861"/>
    <w:rsid w:val="00575AB9"/>
    <w:rsid w:val="005770CE"/>
    <w:rsid w:val="00577621"/>
    <w:rsid w:val="005817BC"/>
    <w:rsid w:val="00583998"/>
    <w:rsid w:val="005839AE"/>
    <w:rsid w:val="005840FA"/>
    <w:rsid w:val="005842F3"/>
    <w:rsid w:val="00585C9B"/>
    <w:rsid w:val="005904FD"/>
    <w:rsid w:val="0059063F"/>
    <w:rsid w:val="00590802"/>
    <w:rsid w:val="00590F86"/>
    <w:rsid w:val="00591D48"/>
    <w:rsid w:val="005923E2"/>
    <w:rsid w:val="0059257A"/>
    <w:rsid w:val="005927F0"/>
    <w:rsid w:val="00592BE6"/>
    <w:rsid w:val="005932FD"/>
    <w:rsid w:val="0059379A"/>
    <w:rsid w:val="005937CA"/>
    <w:rsid w:val="00595456"/>
    <w:rsid w:val="00596164"/>
    <w:rsid w:val="005963E8"/>
    <w:rsid w:val="005970D3"/>
    <w:rsid w:val="005976D4"/>
    <w:rsid w:val="0059794A"/>
    <w:rsid w:val="00597CBC"/>
    <w:rsid w:val="00597FAA"/>
    <w:rsid w:val="005A0708"/>
    <w:rsid w:val="005A0F40"/>
    <w:rsid w:val="005A18F4"/>
    <w:rsid w:val="005A1B50"/>
    <w:rsid w:val="005A1EF1"/>
    <w:rsid w:val="005A2011"/>
    <w:rsid w:val="005A21AD"/>
    <w:rsid w:val="005A29F5"/>
    <w:rsid w:val="005A2DF9"/>
    <w:rsid w:val="005A369C"/>
    <w:rsid w:val="005A36DB"/>
    <w:rsid w:val="005A377B"/>
    <w:rsid w:val="005A39E2"/>
    <w:rsid w:val="005A48CA"/>
    <w:rsid w:val="005A52A5"/>
    <w:rsid w:val="005A5500"/>
    <w:rsid w:val="005A55F0"/>
    <w:rsid w:val="005A5654"/>
    <w:rsid w:val="005A5CF4"/>
    <w:rsid w:val="005A66F6"/>
    <w:rsid w:val="005A7263"/>
    <w:rsid w:val="005B03DB"/>
    <w:rsid w:val="005B0573"/>
    <w:rsid w:val="005B16F2"/>
    <w:rsid w:val="005B225E"/>
    <w:rsid w:val="005B2CB7"/>
    <w:rsid w:val="005B2EB1"/>
    <w:rsid w:val="005B2FFD"/>
    <w:rsid w:val="005B33BA"/>
    <w:rsid w:val="005B40A3"/>
    <w:rsid w:val="005B42C6"/>
    <w:rsid w:val="005B4A28"/>
    <w:rsid w:val="005B4AD4"/>
    <w:rsid w:val="005B4C8E"/>
    <w:rsid w:val="005B52E4"/>
    <w:rsid w:val="005B5DA7"/>
    <w:rsid w:val="005B6CE8"/>
    <w:rsid w:val="005B7BBC"/>
    <w:rsid w:val="005B7C20"/>
    <w:rsid w:val="005C006C"/>
    <w:rsid w:val="005C312F"/>
    <w:rsid w:val="005C3B82"/>
    <w:rsid w:val="005C4386"/>
    <w:rsid w:val="005C452C"/>
    <w:rsid w:val="005C4B90"/>
    <w:rsid w:val="005C5D40"/>
    <w:rsid w:val="005C6DD8"/>
    <w:rsid w:val="005C6DDC"/>
    <w:rsid w:val="005C6E25"/>
    <w:rsid w:val="005D0AAB"/>
    <w:rsid w:val="005D1530"/>
    <w:rsid w:val="005D1B21"/>
    <w:rsid w:val="005D2D92"/>
    <w:rsid w:val="005D3879"/>
    <w:rsid w:val="005D4B10"/>
    <w:rsid w:val="005D51F3"/>
    <w:rsid w:val="005D5CBC"/>
    <w:rsid w:val="005D5F26"/>
    <w:rsid w:val="005D70A1"/>
    <w:rsid w:val="005D7129"/>
    <w:rsid w:val="005D7661"/>
    <w:rsid w:val="005D79FD"/>
    <w:rsid w:val="005D7D7D"/>
    <w:rsid w:val="005D7EE3"/>
    <w:rsid w:val="005E1DB3"/>
    <w:rsid w:val="005E2B0B"/>
    <w:rsid w:val="005E32E9"/>
    <w:rsid w:val="005E4367"/>
    <w:rsid w:val="005E4466"/>
    <w:rsid w:val="005E4F29"/>
    <w:rsid w:val="005E5256"/>
    <w:rsid w:val="005E57F3"/>
    <w:rsid w:val="005E5859"/>
    <w:rsid w:val="005E5FFE"/>
    <w:rsid w:val="005E6CAA"/>
    <w:rsid w:val="005F023D"/>
    <w:rsid w:val="005F0FAE"/>
    <w:rsid w:val="005F33D7"/>
    <w:rsid w:val="005F35A7"/>
    <w:rsid w:val="005F5ACA"/>
    <w:rsid w:val="005F6D74"/>
    <w:rsid w:val="005F7D0D"/>
    <w:rsid w:val="005F7D23"/>
    <w:rsid w:val="00600A82"/>
    <w:rsid w:val="00601079"/>
    <w:rsid w:val="00603034"/>
    <w:rsid w:val="00603309"/>
    <w:rsid w:val="0060383D"/>
    <w:rsid w:val="0060391A"/>
    <w:rsid w:val="0060402D"/>
    <w:rsid w:val="00604C26"/>
    <w:rsid w:val="00604D34"/>
    <w:rsid w:val="00604E10"/>
    <w:rsid w:val="00606370"/>
    <w:rsid w:val="00606A5C"/>
    <w:rsid w:val="00606C58"/>
    <w:rsid w:val="00606D16"/>
    <w:rsid w:val="00606ECD"/>
    <w:rsid w:val="006077C0"/>
    <w:rsid w:val="00611479"/>
    <w:rsid w:val="00611F80"/>
    <w:rsid w:val="0061305B"/>
    <w:rsid w:val="006145D5"/>
    <w:rsid w:val="006149CC"/>
    <w:rsid w:val="00614B78"/>
    <w:rsid w:val="006150F6"/>
    <w:rsid w:val="00616060"/>
    <w:rsid w:val="006174E4"/>
    <w:rsid w:val="0061777F"/>
    <w:rsid w:val="00617AE5"/>
    <w:rsid w:val="00617E72"/>
    <w:rsid w:val="006205AD"/>
    <w:rsid w:val="00626E08"/>
    <w:rsid w:val="006270FD"/>
    <w:rsid w:val="00627CA0"/>
    <w:rsid w:val="00627E19"/>
    <w:rsid w:val="00630255"/>
    <w:rsid w:val="00630758"/>
    <w:rsid w:val="0063129C"/>
    <w:rsid w:val="00632275"/>
    <w:rsid w:val="0063335C"/>
    <w:rsid w:val="00633B63"/>
    <w:rsid w:val="006340E0"/>
    <w:rsid w:val="006342AC"/>
    <w:rsid w:val="0063459D"/>
    <w:rsid w:val="00636434"/>
    <w:rsid w:val="0064347C"/>
    <w:rsid w:val="00645CE8"/>
    <w:rsid w:val="006472FF"/>
    <w:rsid w:val="00647F03"/>
    <w:rsid w:val="006506EA"/>
    <w:rsid w:val="006519B7"/>
    <w:rsid w:val="00651D5A"/>
    <w:rsid w:val="00652416"/>
    <w:rsid w:val="00653601"/>
    <w:rsid w:val="00654121"/>
    <w:rsid w:val="00660018"/>
    <w:rsid w:val="00660E77"/>
    <w:rsid w:val="006611A8"/>
    <w:rsid w:val="006611EA"/>
    <w:rsid w:val="0066183D"/>
    <w:rsid w:val="0066195A"/>
    <w:rsid w:val="00661A1E"/>
    <w:rsid w:val="00661E09"/>
    <w:rsid w:val="00662730"/>
    <w:rsid w:val="00663E54"/>
    <w:rsid w:val="00664646"/>
    <w:rsid w:val="00664963"/>
    <w:rsid w:val="006659D9"/>
    <w:rsid w:val="00665F2E"/>
    <w:rsid w:val="00666616"/>
    <w:rsid w:val="0066674C"/>
    <w:rsid w:val="0066761D"/>
    <w:rsid w:val="00667BD9"/>
    <w:rsid w:val="00667E35"/>
    <w:rsid w:val="0067199A"/>
    <w:rsid w:val="00673611"/>
    <w:rsid w:val="00673FCD"/>
    <w:rsid w:val="006741F1"/>
    <w:rsid w:val="006744A6"/>
    <w:rsid w:val="00674D9B"/>
    <w:rsid w:val="006753ED"/>
    <w:rsid w:val="006758C6"/>
    <w:rsid w:val="0067670F"/>
    <w:rsid w:val="006773C7"/>
    <w:rsid w:val="00677555"/>
    <w:rsid w:val="00677BE8"/>
    <w:rsid w:val="00677F7F"/>
    <w:rsid w:val="00680ACB"/>
    <w:rsid w:val="00681A4D"/>
    <w:rsid w:val="00681FA7"/>
    <w:rsid w:val="006834CE"/>
    <w:rsid w:val="006838F6"/>
    <w:rsid w:val="00684E32"/>
    <w:rsid w:val="00685CEC"/>
    <w:rsid w:val="00686884"/>
    <w:rsid w:val="006873F0"/>
    <w:rsid w:val="0069058D"/>
    <w:rsid w:val="00690A27"/>
    <w:rsid w:val="00691155"/>
    <w:rsid w:val="00691500"/>
    <w:rsid w:val="0069297E"/>
    <w:rsid w:val="00692B95"/>
    <w:rsid w:val="00693267"/>
    <w:rsid w:val="0069370C"/>
    <w:rsid w:val="0069460E"/>
    <w:rsid w:val="00694771"/>
    <w:rsid w:val="00695223"/>
    <w:rsid w:val="00695F3B"/>
    <w:rsid w:val="006A1583"/>
    <w:rsid w:val="006A2034"/>
    <w:rsid w:val="006A2DFF"/>
    <w:rsid w:val="006A30C6"/>
    <w:rsid w:val="006A33F4"/>
    <w:rsid w:val="006A3DD3"/>
    <w:rsid w:val="006A4DB3"/>
    <w:rsid w:val="006A55B4"/>
    <w:rsid w:val="006A6FD2"/>
    <w:rsid w:val="006A754A"/>
    <w:rsid w:val="006B1B10"/>
    <w:rsid w:val="006B28E6"/>
    <w:rsid w:val="006B3CB4"/>
    <w:rsid w:val="006B3E20"/>
    <w:rsid w:val="006B403A"/>
    <w:rsid w:val="006B425B"/>
    <w:rsid w:val="006B4A0C"/>
    <w:rsid w:val="006B4C92"/>
    <w:rsid w:val="006B592B"/>
    <w:rsid w:val="006B5DF1"/>
    <w:rsid w:val="006B6153"/>
    <w:rsid w:val="006B6BC8"/>
    <w:rsid w:val="006B6C5C"/>
    <w:rsid w:val="006B7A75"/>
    <w:rsid w:val="006B7CCA"/>
    <w:rsid w:val="006C0280"/>
    <w:rsid w:val="006C1578"/>
    <w:rsid w:val="006C1BAE"/>
    <w:rsid w:val="006C202C"/>
    <w:rsid w:val="006C2094"/>
    <w:rsid w:val="006C2621"/>
    <w:rsid w:val="006C3160"/>
    <w:rsid w:val="006C3355"/>
    <w:rsid w:val="006C3AB2"/>
    <w:rsid w:val="006C43B6"/>
    <w:rsid w:val="006C471C"/>
    <w:rsid w:val="006C5053"/>
    <w:rsid w:val="006C5311"/>
    <w:rsid w:val="006C63EC"/>
    <w:rsid w:val="006C64A7"/>
    <w:rsid w:val="006C65AE"/>
    <w:rsid w:val="006C69D5"/>
    <w:rsid w:val="006C6A25"/>
    <w:rsid w:val="006C70A4"/>
    <w:rsid w:val="006C70B1"/>
    <w:rsid w:val="006D1B20"/>
    <w:rsid w:val="006D2134"/>
    <w:rsid w:val="006D244C"/>
    <w:rsid w:val="006D2592"/>
    <w:rsid w:val="006D3C3F"/>
    <w:rsid w:val="006D3FCB"/>
    <w:rsid w:val="006D455E"/>
    <w:rsid w:val="006D58D3"/>
    <w:rsid w:val="006D5E7B"/>
    <w:rsid w:val="006D6146"/>
    <w:rsid w:val="006D7134"/>
    <w:rsid w:val="006D74E5"/>
    <w:rsid w:val="006E0A82"/>
    <w:rsid w:val="006E0EEE"/>
    <w:rsid w:val="006E1CAB"/>
    <w:rsid w:val="006E2574"/>
    <w:rsid w:val="006E274D"/>
    <w:rsid w:val="006E2F86"/>
    <w:rsid w:val="006E2FE4"/>
    <w:rsid w:val="006E3ECC"/>
    <w:rsid w:val="006E5D06"/>
    <w:rsid w:val="006E5F95"/>
    <w:rsid w:val="006E71DD"/>
    <w:rsid w:val="006E781A"/>
    <w:rsid w:val="006E797D"/>
    <w:rsid w:val="006F19EE"/>
    <w:rsid w:val="006F212C"/>
    <w:rsid w:val="006F2300"/>
    <w:rsid w:val="006F2360"/>
    <w:rsid w:val="006F3221"/>
    <w:rsid w:val="006F50A1"/>
    <w:rsid w:val="006F56E1"/>
    <w:rsid w:val="007001F8"/>
    <w:rsid w:val="007009E6"/>
    <w:rsid w:val="00700F9F"/>
    <w:rsid w:val="007013D3"/>
    <w:rsid w:val="00701A35"/>
    <w:rsid w:val="00702442"/>
    <w:rsid w:val="007042BF"/>
    <w:rsid w:val="007060D4"/>
    <w:rsid w:val="00706DA3"/>
    <w:rsid w:val="00711DC3"/>
    <w:rsid w:val="007129F7"/>
    <w:rsid w:val="00713F1E"/>
    <w:rsid w:val="0071598D"/>
    <w:rsid w:val="00715BC5"/>
    <w:rsid w:val="00715DBD"/>
    <w:rsid w:val="00715EC8"/>
    <w:rsid w:val="00716128"/>
    <w:rsid w:val="00716534"/>
    <w:rsid w:val="007167FE"/>
    <w:rsid w:val="00717E0B"/>
    <w:rsid w:val="00720555"/>
    <w:rsid w:val="00721F34"/>
    <w:rsid w:val="00722701"/>
    <w:rsid w:val="007231DD"/>
    <w:rsid w:val="00723374"/>
    <w:rsid w:val="00723AB4"/>
    <w:rsid w:val="00723CD8"/>
    <w:rsid w:val="007244F1"/>
    <w:rsid w:val="00724681"/>
    <w:rsid w:val="007248DD"/>
    <w:rsid w:val="007254B7"/>
    <w:rsid w:val="007255A1"/>
    <w:rsid w:val="00727590"/>
    <w:rsid w:val="00730986"/>
    <w:rsid w:val="00731EC1"/>
    <w:rsid w:val="0073263E"/>
    <w:rsid w:val="0073309A"/>
    <w:rsid w:val="00733CD6"/>
    <w:rsid w:val="00734D31"/>
    <w:rsid w:val="00735B8E"/>
    <w:rsid w:val="00736814"/>
    <w:rsid w:val="0073743B"/>
    <w:rsid w:val="007419E4"/>
    <w:rsid w:val="00743CE5"/>
    <w:rsid w:val="007459CB"/>
    <w:rsid w:val="00745AE5"/>
    <w:rsid w:val="007461FD"/>
    <w:rsid w:val="00746AAC"/>
    <w:rsid w:val="00746CA1"/>
    <w:rsid w:val="00747280"/>
    <w:rsid w:val="007477B0"/>
    <w:rsid w:val="0075019F"/>
    <w:rsid w:val="0075064D"/>
    <w:rsid w:val="007507F8"/>
    <w:rsid w:val="007510A4"/>
    <w:rsid w:val="00751878"/>
    <w:rsid w:val="0075201C"/>
    <w:rsid w:val="00752C30"/>
    <w:rsid w:val="00753275"/>
    <w:rsid w:val="00753824"/>
    <w:rsid w:val="00754C82"/>
    <w:rsid w:val="00754FD1"/>
    <w:rsid w:val="00757789"/>
    <w:rsid w:val="00757E61"/>
    <w:rsid w:val="00757E96"/>
    <w:rsid w:val="007600C8"/>
    <w:rsid w:val="00760112"/>
    <w:rsid w:val="00760561"/>
    <w:rsid w:val="00760688"/>
    <w:rsid w:val="00761922"/>
    <w:rsid w:val="00764498"/>
    <w:rsid w:val="007646ED"/>
    <w:rsid w:val="0076474C"/>
    <w:rsid w:val="00764BA2"/>
    <w:rsid w:val="00764DB5"/>
    <w:rsid w:val="007654D0"/>
    <w:rsid w:val="00766FB6"/>
    <w:rsid w:val="00767F72"/>
    <w:rsid w:val="0077032D"/>
    <w:rsid w:val="0077042D"/>
    <w:rsid w:val="007706E6"/>
    <w:rsid w:val="00770C1D"/>
    <w:rsid w:val="00770C93"/>
    <w:rsid w:val="00771B3C"/>
    <w:rsid w:val="007723AE"/>
    <w:rsid w:val="00774A8E"/>
    <w:rsid w:val="00774F6F"/>
    <w:rsid w:val="00775736"/>
    <w:rsid w:val="007761EC"/>
    <w:rsid w:val="007773C5"/>
    <w:rsid w:val="00777496"/>
    <w:rsid w:val="00777D09"/>
    <w:rsid w:val="00780A1F"/>
    <w:rsid w:val="0078146E"/>
    <w:rsid w:val="007816A2"/>
    <w:rsid w:val="00781AC7"/>
    <w:rsid w:val="007827DD"/>
    <w:rsid w:val="00782F01"/>
    <w:rsid w:val="00783409"/>
    <w:rsid w:val="007834D6"/>
    <w:rsid w:val="00785F62"/>
    <w:rsid w:val="00785FF1"/>
    <w:rsid w:val="00787F8A"/>
    <w:rsid w:val="007904FB"/>
    <w:rsid w:val="00790EF0"/>
    <w:rsid w:val="00791A72"/>
    <w:rsid w:val="00791CE3"/>
    <w:rsid w:val="00791EB9"/>
    <w:rsid w:val="00792165"/>
    <w:rsid w:val="00792730"/>
    <w:rsid w:val="0079584F"/>
    <w:rsid w:val="00795AC4"/>
    <w:rsid w:val="00796E4F"/>
    <w:rsid w:val="007A0973"/>
    <w:rsid w:val="007A1A88"/>
    <w:rsid w:val="007A1E58"/>
    <w:rsid w:val="007A37F7"/>
    <w:rsid w:val="007A4043"/>
    <w:rsid w:val="007A4DF5"/>
    <w:rsid w:val="007A5230"/>
    <w:rsid w:val="007A52BA"/>
    <w:rsid w:val="007A5748"/>
    <w:rsid w:val="007A57C4"/>
    <w:rsid w:val="007A5FE3"/>
    <w:rsid w:val="007A64BA"/>
    <w:rsid w:val="007A6636"/>
    <w:rsid w:val="007A6A3E"/>
    <w:rsid w:val="007A79C4"/>
    <w:rsid w:val="007A7F41"/>
    <w:rsid w:val="007B0169"/>
    <w:rsid w:val="007B0C6C"/>
    <w:rsid w:val="007B13F9"/>
    <w:rsid w:val="007B2F5D"/>
    <w:rsid w:val="007B32B8"/>
    <w:rsid w:val="007B3FB6"/>
    <w:rsid w:val="007B4C6F"/>
    <w:rsid w:val="007B4F28"/>
    <w:rsid w:val="007B5831"/>
    <w:rsid w:val="007B605F"/>
    <w:rsid w:val="007B6099"/>
    <w:rsid w:val="007B6FCF"/>
    <w:rsid w:val="007B7B49"/>
    <w:rsid w:val="007B7C47"/>
    <w:rsid w:val="007C0562"/>
    <w:rsid w:val="007C370A"/>
    <w:rsid w:val="007C3836"/>
    <w:rsid w:val="007C3F70"/>
    <w:rsid w:val="007C4205"/>
    <w:rsid w:val="007C4617"/>
    <w:rsid w:val="007C5465"/>
    <w:rsid w:val="007C56DA"/>
    <w:rsid w:val="007C6050"/>
    <w:rsid w:val="007C6397"/>
    <w:rsid w:val="007D00C7"/>
    <w:rsid w:val="007D07AE"/>
    <w:rsid w:val="007D1359"/>
    <w:rsid w:val="007D2472"/>
    <w:rsid w:val="007D28F5"/>
    <w:rsid w:val="007D342A"/>
    <w:rsid w:val="007D3802"/>
    <w:rsid w:val="007D44D6"/>
    <w:rsid w:val="007D524D"/>
    <w:rsid w:val="007D584C"/>
    <w:rsid w:val="007D5CB7"/>
    <w:rsid w:val="007D7088"/>
    <w:rsid w:val="007D789F"/>
    <w:rsid w:val="007D7CD0"/>
    <w:rsid w:val="007D7CF1"/>
    <w:rsid w:val="007D7F6F"/>
    <w:rsid w:val="007E144C"/>
    <w:rsid w:val="007E1927"/>
    <w:rsid w:val="007E1C09"/>
    <w:rsid w:val="007E1FC5"/>
    <w:rsid w:val="007E2600"/>
    <w:rsid w:val="007E2794"/>
    <w:rsid w:val="007E42AC"/>
    <w:rsid w:val="007E48FF"/>
    <w:rsid w:val="007E62D2"/>
    <w:rsid w:val="007E62DA"/>
    <w:rsid w:val="007E65AC"/>
    <w:rsid w:val="007E6F5C"/>
    <w:rsid w:val="007E7335"/>
    <w:rsid w:val="007F062F"/>
    <w:rsid w:val="007F0E7C"/>
    <w:rsid w:val="007F171C"/>
    <w:rsid w:val="007F185B"/>
    <w:rsid w:val="007F2D8F"/>
    <w:rsid w:val="007F392F"/>
    <w:rsid w:val="007F4952"/>
    <w:rsid w:val="007F4D22"/>
    <w:rsid w:val="007F568A"/>
    <w:rsid w:val="007F5A2D"/>
    <w:rsid w:val="007F5DE8"/>
    <w:rsid w:val="007F7614"/>
    <w:rsid w:val="00800408"/>
    <w:rsid w:val="008006FA"/>
    <w:rsid w:val="00800ECE"/>
    <w:rsid w:val="0080109A"/>
    <w:rsid w:val="00801365"/>
    <w:rsid w:val="008024C5"/>
    <w:rsid w:val="0080320A"/>
    <w:rsid w:val="00803F93"/>
    <w:rsid w:val="00804777"/>
    <w:rsid w:val="008049B6"/>
    <w:rsid w:val="00804B67"/>
    <w:rsid w:val="00806455"/>
    <w:rsid w:val="00811004"/>
    <w:rsid w:val="008116BB"/>
    <w:rsid w:val="00812E63"/>
    <w:rsid w:val="00812EA5"/>
    <w:rsid w:val="008133E7"/>
    <w:rsid w:val="008138B1"/>
    <w:rsid w:val="00813F5A"/>
    <w:rsid w:val="0081491B"/>
    <w:rsid w:val="00814C4F"/>
    <w:rsid w:val="0081600D"/>
    <w:rsid w:val="00816337"/>
    <w:rsid w:val="0082307C"/>
    <w:rsid w:val="008231FF"/>
    <w:rsid w:val="00823239"/>
    <w:rsid w:val="0082323B"/>
    <w:rsid w:val="008242EE"/>
    <w:rsid w:val="00825A33"/>
    <w:rsid w:val="00825D5A"/>
    <w:rsid w:val="00827503"/>
    <w:rsid w:val="008278B8"/>
    <w:rsid w:val="00830921"/>
    <w:rsid w:val="00830C2E"/>
    <w:rsid w:val="0083154F"/>
    <w:rsid w:val="00832C19"/>
    <w:rsid w:val="00834973"/>
    <w:rsid w:val="00834E3B"/>
    <w:rsid w:val="008356B8"/>
    <w:rsid w:val="008368EF"/>
    <w:rsid w:val="00836C63"/>
    <w:rsid w:val="00836ECC"/>
    <w:rsid w:val="00840058"/>
    <w:rsid w:val="00840563"/>
    <w:rsid w:val="00841639"/>
    <w:rsid w:val="00841E08"/>
    <w:rsid w:val="00841F46"/>
    <w:rsid w:val="008422F6"/>
    <w:rsid w:val="00842B45"/>
    <w:rsid w:val="008431DE"/>
    <w:rsid w:val="00843682"/>
    <w:rsid w:val="00843945"/>
    <w:rsid w:val="00843A8A"/>
    <w:rsid w:val="0084471B"/>
    <w:rsid w:val="00845C13"/>
    <w:rsid w:val="00846022"/>
    <w:rsid w:val="008465AA"/>
    <w:rsid w:val="00846B5C"/>
    <w:rsid w:val="00846BE4"/>
    <w:rsid w:val="00847056"/>
    <w:rsid w:val="008474F9"/>
    <w:rsid w:val="00850213"/>
    <w:rsid w:val="00850C65"/>
    <w:rsid w:val="008512BD"/>
    <w:rsid w:val="008515BE"/>
    <w:rsid w:val="00851775"/>
    <w:rsid w:val="0085246D"/>
    <w:rsid w:val="0085364B"/>
    <w:rsid w:val="00855114"/>
    <w:rsid w:val="00856003"/>
    <w:rsid w:val="00857854"/>
    <w:rsid w:val="00860FE3"/>
    <w:rsid w:val="008610D7"/>
    <w:rsid w:val="0086178C"/>
    <w:rsid w:val="00861928"/>
    <w:rsid w:val="00862449"/>
    <w:rsid w:val="00862C72"/>
    <w:rsid w:val="00862FC4"/>
    <w:rsid w:val="00863FA3"/>
    <w:rsid w:val="008641DA"/>
    <w:rsid w:val="00864202"/>
    <w:rsid w:val="008644C0"/>
    <w:rsid w:val="008647CA"/>
    <w:rsid w:val="00866059"/>
    <w:rsid w:val="00866E3E"/>
    <w:rsid w:val="00867969"/>
    <w:rsid w:val="00867C58"/>
    <w:rsid w:val="00867D9A"/>
    <w:rsid w:val="00867F76"/>
    <w:rsid w:val="00870B37"/>
    <w:rsid w:val="00871360"/>
    <w:rsid w:val="008718B8"/>
    <w:rsid w:val="0087210A"/>
    <w:rsid w:val="008722D9"/>
    <w:rsid w:val="00872EAA"/>
    <w:rsid w:val="0087312A"/>
    <w:rsid w:val="0087313D"/>
    <w:rsid w:val="00875652"/>
    <w:rsid w:val="0087726B"/>
    <w:rsid w:val="00880489"/>
    <w:rsid w:val="008808F4"/>
    <w:rsid w:val="00880AB8"/>
    <w:rsid w:val="00880D6D"/>
    <w:rsid w:val="00881ABF"/>
    <w:rsid w:val="00882E76"/>
    <w:rsid w:val="008839A9"/>
    <w:rsid w:val="0088522B"/>
    <w:rsid w:val="008852B0"/>
    <w:rsid w:val="0088577B"/>
    <w:rsid w:val="008858BE"/>
    <w:rsid w:val="00885E3A"/>
    <w:rsid w:val="00886924"/>
    <w:rsid w:val="00886C1B"/>
    <w:rsid w:val="00887361"/>
    <w:rsid w:val="00887466"/>
    <w:rsid w:val="0088748D"/>
    <w:rsid w:val="00887FA3"/>
    <w:rsid w:val="00890F9A"/>
    <w:rsid w:val="00894AB9"/>
    <w:rsid w:val="00894B2A"/>
    <w:rsid w:val="0089777B"/>
    <w:rsid w:val="00897A4D"/>
    <w:rsid w:val="008A0359"/>
    <w:rsid w:val="008A08CC"/>
    <w:rsid w:val="008A0DFB"/>
    <w:rsid w:val="008A1534"/>
    <w:rsid w:val="008A2DB3"/>
    <w:rsid w:val="008A3F7D"/>
    <w:rsid w:val="008A43AD"/>
    <w:rsid w:val="008A4C1E"/>
    <w:rsid w:val="008A67AA"/>
    <w:rsid w:val="008A7D81"/>
    <w:rsid w:val="008B01EA"/>
    <w:rsid w:val="008B0C82"/>
    <w:rsid w:val="008B13C1"/>
    <w:rsid w:val="008B2EDB"/>
    <w:rsid w:val="008B493C"/>
    <w:rsid w:val="008B5408"/>
    <w:rsid w:val="008B5B7D"/>
    <w:rsid w:val="008B5FA7"/>
    <w:rsid w:val="008B7136"/>
    <w:rsid w:val="008C028D"/>
    <w:rsid w:val="008C0493"/>
    <w:rsid w:val="008C07B6"/>
    <w:rsid w:val="008C1BA1"/>
    <w:rsid w:val="008C32C9"/>
    <w:rsid w:val="008C48DA"/>
    <w:rsid w:val="008C4F75"/>
    <w:rsid w:val="008C62CC"/>
    <w:rsid w:val="008C6973"/>
    <w:rsid w:val="008C6B9F"/>
    <w:rsid w:val="008C7199"/>
    <w:rsid w:val="008C76D7"/>
    <w:rsid w:val="008C79F0"/>
    <w:rsid w:val="008D0567"/>
    <w:rsid w:val="008D0925"/>
    <w:rsid w:val="008D228D"/>
    <w:rsid w:val="008D305A"/>
    <w:rsid w:val="008D351B"/>
    <w:rsid w:val="008D536B"/>
    <w:rsid w:val="008D66CE"/>
    <w:rsid w:val="008D7C15"/>
    <w:rsid w:val="008D7DC5"/>
    <w:rsid w:val="008E0C53"/>
    <w:rsid w:val="008E0DC5"/>
    <w:rsid w:val="008E100F"/>
    <w:rsid w:val="008E1A41"/>
    <w:rsid w:val="008E1CD9"/>
    <w:rsid w:val="008E24C7"/>
    <w:rsid w:val="008E3139"/>
    <w:rsid w:val="008E35C3"/>
    <w:rsid w:val="008E4880"/>
    <w:rsid w:val="008E4929"/>
    <w:rsid w:val="008E4EBE"/>
    <w:rsid w:val="008E5FB5"/>
    <w:rsid w:val="008E6FB1"/>
    <w:rsid w:val="008E7B95"/>
    <w:rsid w:val="008F020D"/>
    <w:rsid w:val="008F09CE"/>
    <w:rsid w:val="008F0F3D"/>
    <w:rsid w:val="008F13B3"/>
    <w:rsid w:val="008F1ABA"/>
    <w:rsid w:val="008F2107"/>
    <w:rsid w:val="008F2839"/>
    <w:rsid w:val="008F2BFF"/>
    <w:rsid w:val="008F302B"/>
    <w:rsid w:val="008F3089"/>
    <w:rsid w:val="008F3EA8"/>
    <w:rsid w:val="008F63B0"/>
    <w:rsid w:val="008F6BF8"/>
    <w:rsid w:val="008F6DC6"/>
    <w:rsid w:val="008F7304"/>
    <w:rsid w:val="008F7553"/>
    <w:rsid w:val="008F7CC2"/>
    <w:rsid w:val="00900A12"/>
    <w:rsid w:val="00900B62"/>
    <w:rsid w:val="00901EB7"/>
    <w:rsid w:val="0090240B"/>
    <w:rsid w:val="00902C22"/>
    <w:rsid w:val="00904006"/>
    <w:rsid w:val="00904E9A"/>
    <w:rsid w:val="00905E99"/>
    <w:rsid w:val="009064A8"/>
    <w:rsid w:val="0090692E"/>
    <w:rsid w:val="00906CD4"/>
    <w:rsid w:val="00907455"/>
    <w:rsid w:val="00911841"/>
    <w:rsid w:val="00911859"/>
    <w:rsid w:val="00911D7B"/>
    <w:rsid w:val="0091409F"/>
    <w:rsid w:val="009152FA"/>
    <w:rsid w:val="0091555F"/>
    <w:rsid w:val="0091571A"/>
    <w:rsid w:val="0091590B"/>
    <w:rsid w:val="00915B3B"/>
    <w:rsid w:val="00916A5D"/>
    <w:rsid w:val="009178CD"/>
    <w:rsid w:val="0092162E"/>
    <w:rsid w:val="00921B02"/>
    <w:rsid w:val="009222EA"/>
    <w:rsid w:val="00926BBD"/>
    <w:rsid w:val="00926CF1"/>
    <w:rsid w:val="00930CC7"/>
    <w:rsid w:val="0093215A"/>
    <w:rsid w:val="00932606"/>
    <w:rsid w:val="00932B72"/>
    <w:rsid w:val="00933089"/>
    <w:rsid w:val="0093382D"/>
    <w:rsid w:val="00934DE1"/>
    <w:rsid w:val="00935D73"/>
    <w:rsid w:val="00935DC8"/>
    <w:rsid w:val="00936991"/>
    <w:rsid w:val="00940A20"/>
    <w:rsid w:val="00940C37"/>
    <w:rsid w:val="00941022"/>
    <w:rsid w:val="00942815"/>
    <w:rsid w:val="009435B1"/>
    <w:rsid w:val="00943DED"/>
    <w:rsid w:val="009448FB"/>
    <w:rsid w:val="00944C49"/>
    <w:rsid w:val="00945656"/>
    <w:rsid w:val="00945852"/>
    <w:rsid w:val="009461B5"/>
    <w:rsid w:val="00946B70"/>
    <w:rsid w:val="00946D82"/>
    <w:rsid w:val="00946DE3"/>
    <w:rsid w:val="0094786A"/>
    <w:rsid w:val="00950432"/>
    <w:rsid w:val="00950FC0"/>
    <w:rsid w:val="00951376"/>
    <w:rsid w:val="00951425"/>
    <w:rsid w:val="009515E5"/>
    <w:rsid w:val="009518A0"/>
    <w:rsid w:val="00951EF1"/>
    <w:rsid w:val="009536E8"/>
    <w:rsid w:val="00953C37"/>
    <w:rsid w:val="0095435E"/>
    <w:rsid w:val="00954D53"/>
    <w:rsid w:val="00955DA2"/>
    <w:rsid w:val="00955F18"/>
    <w:rsid w:val="00956866"/>
    <w:rsid w:val="00956B5A"/>
    <w:rsid w:val="0096054F"/>
    <w:rsid w:val="009616A1"/>
    <w:rsid w:val="00962566"/>
    <w:rsid w:val="009625CA"/>
    <w:rsid w:val="0096356A"/>
    <w:rsid w:val="009663DA"/>
    <w:rsid w:val="00966838"/>
    <w:rsid w:val="009673C2"/>
    <w:rsid w:val="009679EB"/>
    <w:rsid w:val="00970373"/>
    <w:rsid w:val="00971301"/>
    <w:rsid w:val="009727AE"/>
    <w:rsid w:val="00973D54"/>
    <w:rsid w:val="0097566C"/>
    <w:rsid w:val="00975E7D"/>
    <w:rsid w:val="0097616B"/>
    <w:rsid w:val="0097650C"/>
    <w:rsid w:val="009769B1"/>
    <w:rsid w:val="00976C1C"/>
    <w:rsid w:val="00977122"/>
    <w:rsid w:val="00977A52"/>
    <w:rsid w:val="00977B44"/>
    <w:rsid w:val="00977BB2"/>
    <w:rsid w:val="00977CF1"/>
    <w:rsid w:val="0098014D"/>
    <w:rsid w:val="009811BC"/>
    <w:rsid w:val="00981D57"/>
    <w:rsid w:val="0098227D"/>
    <w:rsid w:val="009822A1"/>
    <w:rsid w:val="00982AC6"/>
    <w:rsid w:val="00982B6B"/>
    <w:rsid w:val="009836F6"/>
    <w:rsid w:val="0098447D"/>
    <w:rsid w:val="00984827"/>
    <w:rsid w:val="009849D0"/>
    <w:rsid w:val="00984FF6"/>
    <w:rsid w:val="0098742A"/>
    <w:rsid w:val="009875C9"/>
    <w:rsid w:val="00987C14"/>
    <w:rsid w:val="00990894"/>
    <w:rsid w:val="009939B7"/>
    <w:rsid w:val="00994D25"/>
    <w:rsid w:val="00996AC5"/>
    <w:rsid w:val="00996CED"/>
    <w:rsid w:val="009970C9"/>
    <w:rsid w:val="00997447"/>
    <w:rsid w:val="009A0232"/>
    <w:rsid w:val="009A03C2"/>
    <w:rsid w:val="009A046C"/>
    <w:rsid w:val="009A0697"/>
    <w:rsid w:val="009A1DD8"/>
    <w:rsid w:val="009A2557"/>
    <w:rsid w:val="009A33F5"/>
    <w:rsid w:val="009A38C4"/>
    <w:rsid w:val="009A3FF3"/>
    <w:rsid w:val="009A411D"/>
    <w:rsid w:val="009A47B2"/>
    <w:rsid w:val="009A4ADA"/>
    <w:rsid w:val="009A6488"/>
    <w:rsid w:val="009A7831"/>
    <w:rsid w:val="009A786B"/>
    <w:rsid w:val="009A7A27"/>
    <w:rsid w:val="009B0424"/>
    <w:rsid w:val="009B100E"/>
    <w:rsid w:val="009B26B3"/>
    <w:rsid w:val="009B2BBB"/>
    <w:rsid w:val="009B3BBE"/>
    <w:rsid w:val="009B3F24"/>
    <w:rsid w:val="009B40CA"/>
    <w:rsid w:val="009B4544"/>
    <w:rsid w:val="009B61E5"/>
    <w:rsid w:val="009B736E"/>
    <w:rsid w:val="009B786B"/>
    <w:rsid w:val="009B7CAF"/>
    <w:rsid w:val="009C0446"/>
    <w:rsid w:val="009C054C"/>
    <w:rsid w:val="009C0BCF"/>
    <w:rsid w:val="009C2A97"/>
    <w:rsid w:val="009C2E55"/>
    <w:rsid w:val="009C3C2C"/>
    <w:rsid w:val="009C3EA4"/>
    <w:rsid w:val="009C417A"/>
    <w:rsid w:val="009C6643"/>
    <w:rsid w:val="009C76D3"/>
    <w:rsid w:val="009C7C5D"/>
    <w:rsid w:val="009D103A"/>
    <w:rsid w:val="009D21B1"/>
    <w:rsid w:val="009D3067"/>
    <w:rsid w:val="009D3169"/>
    <w:rsid w:val="009D3C0E"/>
    <w:rsid w:val="009D511F"/>
    <w:rsid w:val="009D51F8"/>
    <w:rsid w:val="009D6035"/>
    <w:rsid w:val="009D603B"/>
    <w:rsid w:val="009D63C3"/>
    <w:rsid w:val="009D6F57"/>
    <w:rsid w:val="009E08C2"/>
    <w:rsid w:val="009E1C61"/>
    <w:rsid w:val="009E24AD"/>
    <w:rsid w:val="009E37DA"/>
    <w:rsid w:val="009E3A0F"/>
    <w:rsid w:val="009E3D4B"/>
    <w:rsid w:val="009E428B"/>
    <w:rsid w:val="009E54DA"/>
    <w:rsid w:val="009E60F6"/>
    <w:rsid w:val="009E6DAC"/>
    <w:rsid w:val="009E7517"/>
    <w:rsid w:val="009F0E18"/>
    <w:rsid w:val="009F27ED"/>
    <w:rsid w:val="009F2BFE"/>
    <w:rsid w:val="009F2EA7"/>
    <w:rsid w:val="009F43A7"/>
    <w:rsid w:val="009F4856"/>
    <w:rsid w:val="009F4973"/>
    <w:rsid w:val="009F5730"/>
    <w:rsid w:val="009F6754"/>
    <w:rsid w:val="009F6755"/>
    <w:rsid w:val="009F69A5"/>
    <w:rsid w:val="009F6C26"/>
    <w:rsid w:val="009F7405"/>
    <w:rsid w:val="009F744A"/>
    <w:rsid w:val="00A035DB"/>
    <w:rsid w:val="00A03F91"/>
    <w:rsid w:val="00A04BAA"/>
    <w:rsid w:val="00A04D82"/>
    <w:rsid w:val="00A04F2A"/>
    <w:rsid w:val="00A06240"/>
    <w:rsid w:val="00A06C45"/>
    <w:rsid w:val="00A11479"/>
    <w:rsid w:val="00A122B0"/>
    <w:rsid w:val="00A12DF2"/>
    <w:rsid w:val="00A13014"/>
    <w:rsid w:val="00A135F7"/>
    <w:rsid w:val="00A142BB"/>
    <w:rsid w:val="00A14A07"/>
    <w:rsid w:val="00A14A88"/>
    <w:rsid w:val="00A14B42"/>
    <w:rsid w:val="00A14F6A"/>
    <w:rsid w:val="00A14F87"/>
    <w:rsid w:val="00A15516"/>
    <w:rsid w:val="00A15628"/>
    <w:rsid w:val="00A15935"/>
    <w:rsid w:val="00A166AA"/>
    <w:rsid w:val="00A167BE"/>
    <w:rsid w:val="00A17112"/>
    <w:rsid w:val="00A173D4"/>
    <w:rsid w:val="00A17B6A"/>
    <w:rsid w:val="00A17D67"/>
    <w:rsid w:val="00A20743"/>
    <w:rsid w:val="00A221E7"/>
    <w:rsid w:val="00A22759"/>
    <w:rsid w:val="00A22979"/>
    <w:rsid w:val="00A22991"/>
    <w:rsid w:val="00A22E47"/>
    <w:rsid w:val="00A22E71"/>
    <w:rsid w:val="00A23E14"/>
    <w:rsid w:val="00A23EFB"/>
    <w:rsid w:val="00A24DF0"/>
    <w:rsid w:val="00A26753"/>
    <w:rsid w:val="00A27473"/>
    <w:rsid w:val="00A3040F"/>
    <w:rsid w:val="00A307F8"/>
    <w:rsid w:val="00A30923"/>
    <w:rsid w:val="00A31A69"/>
    <w:rsid w:val="00A3239A"/>
    <w:rsid w:val="00A3327B"/>
    <w:rsid w:val="00A3423F"/>
    <w:rsid w:val="00A34BA5"/>
    <w:rsid w:val="00A3748F"/>
    <w:rsid w:val="00A377D3"/>
    <w:rsid w:val="00A378B9"/>
    <w:rsid w:val="00A37F12"/>
    <w:rsid w:val="00A412E9"/>
    <w:rsid w:val="00A42902"/>
    <w:rsid w:val="00A436C1"/>
    <w:rsid w:val="00A43E62"/>
    <w:rsid w:val="00A4545A"/>
    <w:rsid w:val="00A46503"/>
    <w:rsid w:val="00A47107"/>
    <w:rsid w:val="00A475F6"/>
    <w:rsid w:val="00A502EB"/>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2F17"/>
    <w:rsid w:val="00A62FE8"/>
    <w:rsid w:val="00A63782"/>
    <w:rsid w:val="00A63DA5"/>
    <w:rsid w:val="00A64274"/>
    <w:rsid w:val="00A645F3"/>
    <w:rsid w:val="00A664CE"/>
    <w:rsid w:val="00A704E3"/>
    <w:rsid w:val="00A70E2B"/>
    <w:rsid w:val="00A7170B"/>
    <w:rsid w:val="00A7181B"/>
    <w:rsid w:val="00A71E3F"/>
    <w:rsid w:val="00A736A3"/>
    <w:rsid w:val="00A73CDB"/>
    <w:rsid w:val="00A7410D"/>
    <w:rsid w:val="00A7492A"/>
    <w:rsid w:val="00A74D78"/>
    <w:rsid w:val="00A76E94"/>
    <w:rsid w:val="00A775B6"/>
    <w:rsid w:val="00A77A7A"/>
    <w:rsid w:val="00A77CB8"/>
    <w:rsid w:val="00A77F51"/>
    <w:rsid w:val="00A80CEE"/>
    <w:rsid w:val="00A811BF"/>
    <w:rsid w:val="00A812C2"/>
    <w:rsid w:val="00A81B2B"/>
    <w:rsid w:val="00A84C62"/>
    <w:rsid w:val="00A84EEC"/>
    <w:rsid w:val="00A859EE"/>
    <w:rsid w:val="00A86897"/>
    <w:rsid w:val="00A87514"/>
    <w:rsid w:val="00A87AB9"/>
    <w:rsid w:val="00A91470"/>
    <w:rsid w:val="00A92091"/>
    <w:rsid w:val="00A9378F"/>
    <w:rsid w:val="00A941D9"/>
    <w:rsid w:val="00A948A5"/>
    <w:rsid w:val="00A9600C"/>
    <w:rsid w:val="00A96189"/>
    <w:rsid w:val="00A96736"/>
    <w:rsid w:val="00A9689F"/>
    <w:rsid w:val="00A9695D"/>
    <w:rsid w:val="00A96A7D"/>
    <w:rsid w:val="00AA0156"/>
    <w:rsid w:val="00AA09EC"/>
    <w:rsid w:val="00AA0DA4"/>
    <w:rsid w:val="00AA108A"/>
    <w:rsid w:val="00AA2D4A"/>
    <w:rsid w:val="00AA2D60"/>
    <w:rsid w:val="00AA33EC"/>
    <w:rsid w:val="00AA3581"/>
    <w:rsid w:val="00AA63C3"/>
    <w:rsid w:val="00AA6C2D"/>
    <w:rsid w:val="00AA74E0"/>
    <w:rsid w:val="00AB001B"/>
    <w:rsid w:val="00AB09AA"/>
    <w:rsid w:val="00AB3CA6"/>
    <w:rsid w:val="00AB4C18"/>
    <w:rsid w:val="00AB4EC4"/>
    <w:rsid w:val="00AB5B01"/>
    <w:rsid w:val="00AB5F77"/>
    <w:rsid w:val="00AB6C72"/>
    <w:rsid w:val="00AB6DDF"/>
    <w:rsid w:val="00AB70C2"/>
    <w:rsid w:val="00AB7B4B"/>
    <w:rsid w:val="00AB7EFD"/>
    <w:rsid w:val="00AC1C28"/>
    <w:rsid w:val="00AC1C9E"/>
    <w:rsid w:val="00AC2D5A"/>
    <w:rsid w:val="00AC33B4"/>
    <w:rsid w:val="00AC4261"/>
    <w:rsid w:val="00AC4398"/>
    <w:rsid w:val="00AC4922"/>
    <w:rsid w:val="00AC4EAB"/>
    <w:rsid w:val="00AC5439"/>
    <w:rsid w:val="00AD0094"/>
    <w:rsid w:val="00AD07BA"/>
    <w:rsid w:val="00AD07FD"/>
    <w:rsid w:val="00AD203D"/>
    <w:rsid w:val="00AD3C7E"/>
    <w:rsid w:val="00AD4EE7"/>
    <w:rsid w:val="00AD549D"/>
    <w:rsid w:val="00AD5F53"/>
    <w:rsid w:val="00AD6127"/>
    <w:rsid w:val="00AD6423"/>
    <w:rsid w:val="00AD73C1"/>
    <w:rsid w:val="00AD7D8B"/>
    <w:rsid w:val="00AE0808"/>
    <w:rsid w:val="00AE0DB0"/>
    <w:rsid w:val="00AE18B5"/>
    <w:rsid w:val="00AE1E36"/>
    <w:rsid w:val="00AE26E2"/>
    <w:rsid w:val="00AE2E16"/>
    <w:rsid w:val="00AE2E97"/>
    <w:rsid w:val="00AE33D8"/>
    <w:rsid w:val="00AE3F85"/>
    <w:rsid w:val="00AE4A3A"/>
    <w:rsid w:val="00AE669B"/>
    <w:rsid w:val="00AE70E6"/>
    <w:rsid w:val="00AF0616"/>
    <w:rsid w:val="00AF0FD4"/>
    <w:rsid w:val="00AF15DB"/>
    <w:rsid w:val="00AF207C"/>
    <w:rsid w:val="00AF2933"/>
    <w:rsid w:val="00AF320B"/>
    <w:rsid w:val="00AF363B"/>
    <w:rsid w:val="00AF366B"/>
    <w:rsid w:val="00AF427D"/>
    <w:rsid w:val="00AF434B"/>
    <w:rsid w:val="00AF5CBA"/>
    <w:rsid w:val="00AF5E30"/>
    <w:rsid w:val="00AF5E77"/>
    <w:rsid w:val="00AF6414"/>
    <w:rsid w:val="00AF657C"/>
    <w:rsid w:val="00AF67C1"/>
    <w:rsid w:val="00B007C8"/>
    <w:rsid w:val="00B0185C"/>
    <w:rsid w:val="00B01C63"/>
    <w:rsid w:val="00B023F8"/>
    <w:rsid w:val="00B0240F"/>
    <w:rsid w:val="00B030E0"/>
    <w:rsid w:val="00B0313C"/>
    <w:rsid w:val="00B0387E"/>
    <w:rsid w:val="00B03E3A"/>
    <w:rsid w:val="00B04426"/>
    <w:rsid w:val="00B055F8"/>
    <w:rsid w:val="00B06AF1"/>
    <w:rsid w:val="00B06BF3"/>
    <w:rsid w:val="00B074EB"/>
    <w:rsid w:val="00B07B66"/>
    <w:rsid w:val="00B10065"/>
    <w:rsid w:val="00B1070C"/>
    <w:rsid w:val="00B10A08"/>
    <w:rsid w:val="00B10B86"/>
    <w:rsid w:val="00B10C14"/>
    <w:rsid w:val="00B11BAA"/>
    <w:rsid w:val="00B14D44"/>
    <w:rsid w:val="00B16402"/>
    <w:rsid w:val="00B1659F"/>
    <w:rsid w:val="00B173F6"/>
    <w:rsid w:val="00B175A9"/>
    <w:rsid w:val="00B179FC"/>
    <w:rsid w:val="00B20098"/>
    <w:rsid w:val="00B20A3F"/>
    <w:rsid w:val="00B23705"/>
    <w:rsid w:val="00B237D3"/>
    <w:rsid w:val="00B258BC"/>
    <w:rsid w:val="00B259A4"/>
    <w:rsid w:val="00B25EE3"/>
    <w:rsid w:val="00B262C8"/>
    <w:rsid w:val="00B265EA"/>
    <w:rsid w:val="00B270E7"/>
    <w:rsid w:val="00B27657"/>
    <w:rsid w:val="00B31033"/>
    <w:rsid w:val="00B31916"/>
    <w:rsid w:val="00B324BE"/>
    <w:rsid w:val="00B3288E"/>
    <w:rsid w:val="00B3306F"/>
    <w:rsid w:val="00B33522"/>
    <w:rsid w:val="00B336DA"/>
    <w:rsid w:val="00B34633"/>
    <w:rsid w:val="00B34999"/>
    <w:rsid w:val="00B35FBD"/>
    <w:rsid w:val="00B35FD4"/>
    <w:rsid w:val="00B36835"/>
    <w:rsid w:val="00B36DB0"/>
    <w:rsid w:val="00B37276"/>
    <w:rsid w:val="00B3741F"/>
    <w:rsid w:val="00B405C0"/>
    <w:rsid w:val="00B40D34"/>
    <w:rsid w:val="00B412CC"/>
    <w:rsid w:val="00B41C94"/>
    <w:rsid w:val="00B420A4"/>
    <w:rsid w:val="00B427A7"/>
    <w:rsid w:val="00B42867"/>
    <w:rsid w:val="00B4352E"/>
    <w:rsid w:val="00B4393F"/>
    <w:rsid w:val="00B43F9B"/>
    <w:rsid w:val="00B45164"/>
    <w:rsid w:val="00B451B4"/>
    <w:rsid w:val="00B46B41"/>
    <w:rsid w:val="00B46F94"/>
    <w:rsid w:val="00B5389E"/>
    <w:rsid w:val="00B54114"/>
    <w:rsid w:val="00B54802"/>
    <w:rsid w:val="00B5499F"/>
    <w:rsid w:val="00B553F3"/>
    <w:rsid w:val="00B55C8A"/>
    <w:rsid w:val="00B56109"/>
    <w:rsid w:val="00B56699"/>
    <w:rsid w:val="00B57440"/>
    <w:rsid w:val="00B578C9"/>
    <w:rsid w:val="00B57B66"/>
    <w:rsid w:val="00B57E31"/>
    <w:rsid w:val="00B57F13"/>
    <w:rsid w:val="00B602D4"/>
    <w:rsid w:val="00B60568"/>
    <w:rsid w:val="00B6137B"/>
    <w:rsid w:val="00B61FC5"/>
    <w:rsid w:val="00B64963"/>
    <w:rsid w:val="00B6498E"/>
    <w:rsid w:val="00B65BEE"/>
    <w:rsid w:val="00B663CD"/>
    <w:rsid w:val="00B66540"/>
    <w:rsid w:val="00B66D3D"/>
    <w:rsid w:val="00B66E5F"/>
    <w:rsid w:val="00B67116"/>
    <w:rsid w:val="00B67B1F"/>
    <w:rsid w:val="00B7119D"/>
    <w:rsid w:val="00B71DE4"/>
    <w:rsid w:val="00B72134"/>
    <w:rsid w:val="00B7344F"/>
    <w:rsid w:val="00B73DC5"/>
    <w:rsid w:val="00B73FF6"/>
    <w:rsid w:val="00B74655"/>
    <w:rsid w:val="00B753CF"/>
    <w:rsid w:val="00B75498"/>
    <w:rsid w:val="00B767AF"/>
    <w:rsid w:val="00B7717B"/>
    <w:rsid w:val="00B77567"/>
    <w:rsid w:val="00B813A3"/>
    <w:rsid w:val="00B81D79"/>
    <w:rsid w:val="00B81F12"/>
    <w:rsid w:val="00B85196"/>
    <w:rsid w:val="00B8585E"/>
    <w:rsid w:val="00B86014"/>
    <w:rsid w:val="00B90C9A"/>
    <w:rsid w:val="00B90EDB"/>
    <w:rsid w:val="00B913D2"/>
    <w:rsid w:val="00B914E9"/>
    <w:rsid w:val="00B9250E"/>
    <w:rsid w:val="00B928E7"/>
    <w:rsid w:val="00B92CBD"/>
    <w:rsid w:val="00B92D87"/>
    <w:rsid w:val="00B932E5"/>
    <w:rsid w:val="00B941B6"/>
    <w:rsid w:val="00B94B0F"/>
    <w:rsid w:val="00BA0A30"/>
    <w:rsid w:val="00BA2262"/>
    <w:rsid w:val="00BA2927"/>
    <w:rsid w:val="00BA3568"/>
    <w:rsid w:val="00BA3C61"/>
    <w:rsid w:val="00BA3CB0"/>
    <w:rsid w:val="00BA48DD"/>
    <w:rsid w:val="00BA4DF2"/>
    <w:rsid w:val="00BA6BDE"/>
    <w:rsid w:val="00BA6EBF"/>
    <w:rsid w:val="00BA7246"/>
    <w:rsid w:val="00BB06DC"/>
    <w:rsid w:val="00BB143C"/>
    <w:rsid w:val="00BB1DC2"/>
    <w:rsid w:val="00BB1F69"/>
    <w:rsid w:val="00BB21CC"/>
    <w:rsid w:val="00BB267F"/>
    <w:rsid w:val="00BB2BD3"/>
    <w:rsid w:val="00BB2DCE"/>
    <w:rsid w:val="00BB2DE5"/>
    <w:rsid w:val="00BB37D5"/>
    <w:rsid w:val="00BB3C02"/>
    <w:rsid w:val="00BB3E61"/>
    <w:rsid w:val="00BB4218"/>
    <w:rsid w:val="00BB4427"/>
    <w:rsid w:val="00BB6828"/>
    <w:rsid w:val="00BB6A47"/>
    <w:rsid w:val="00BB7BB1"/>
    <w:rsid w:val="00BC27D7"/>
    <w:rsid w:val="00BC2E7A"/>
    <w:rsid w:val="00BC415A"/>
    <w:rsid w:val="00BC5E99"/>
    <w:rsid w:val="00BC696E"/>
    <w:rsid w:val="00BC77E2"/>
    <w:rsid w:val="00BC7C73"/>
    <w:rsid w:val="00BD0264"/>
    <w:rsid w:val="00BD0CF8"/>
    <w:rsid w:val="00BD1470"/>
    <w:rsid w:val="00BD3E0C"/>
    <w:rsid w:val="00BD50BC"/>
    <w:rsid w:val="00BD5B15"/>
    <w:rsid w:val="00BD7B35"/>
    <w:rsid w:val="00BE001F"/>
    <w:rsid w:val="00BE015E"/>
    <w:rsid w:val="00BE09B0"/>
    <w:rsid w:val="00BE1E2A"/>
    <w:rsid w:val="00BE3198"/>
    <w:rsid w:val="00BE3B31"/>
    <w:rsid w:val="00BE3C14"/>
    <w:rsid w:val="00BE4C38"/>
    <w:rsid w:val="00BE54E1"/>
    <w:rsid w:val="00BE6820"/>
    <w:rsid w:val="00BE6FCA"/>
    <w:rsid w:val="00BE75E5"/>
    <w:rsid w:val="00BF082B"/>
    <w:rsid w:val="00BF0F44"/>
    <w:rsid w:val="00BF1301"/>
    <w:rsid w:val="00BF1361"/>
    <w:rsid w:val="00BF1825"/>
    <w:rsid w:val="00BF2402"/>
    <w:rsid w:val="00BF3925"/>
    <w:rsid w:val="00BF3C2F"/>
    <w:rsid w:val="00BF41A9"/>
    <w:rsid w:val="00BF4325"/>
    <w:rsid w:val="00BF58BD"/>
    <w:rsid w:val="00C00C9B"/>
    <w:rsid w:val="00C00D5B"/>
    <w:rsid w:val="00C01262"/>
    <w:rsid w:val="00C0287F"/>
    <w:rsid w:val="00C0350B"/>
    <w:rsid w:val="00C03E87"/>
    <w:rsid w:val="00C03FE3"/>
    <w:rsid w:val="00C0452D"/>
    <w:rsid w:val="00C06D5E"/>
    <w:rsid w:val="00C07551"/>
    <w:rsid w:val="00C101CD"/>
    <w:rsid w:val="00C10C7E"/>
    <w:rsid w:val="00C1146D"/>
    <w:rsid w:val="00C11597"/>
    <w:rsid w:val="00C1219E"/>
    <w:rsid w:val="00C12946"/>
    <w:rsid w:val="00C12952"/>
    <w:rsid w:val="00C12B75"/>
    <w:rsid w:val="00C12BBA"/>
    <w:rsid w:val="00C133B9"/>
    <w:rsid w:val="00C13F05"/>
    <w:rsid w:val="00C151A2"/>
    <w:rsid w:val="00C15491"/>
    <w:rsid w:val="00C158A4"/>
    <w:rsid w:val="00C200DF"/>
    <w:rsid w:val="00C219C1"/>
    <w:rsid w:val="00C21D61"/>
    <w:rsid w:val="00C21F41"/>
    <w:rsid w:val="00C23B11"/>
    <w:rsid w:val="00C2400B"/>
    <w:rsid w:val="00C25730"/>
    <w:rsid w:val="00C2573C"/>
    <w:rsid w:val="00C25DEA"/>
    <w:rsid w:val="00C25FB1"/>
    <w:rsid w:val="00C264F4"/>
    <w:rsid w:val="00C26838"/>
    <w:rsid w:val="00C277C6"/>
    <w:rsid w:val="00C316F5"/>
    <w:rsid w:val="00C319D8"/>
    <w:rsid w:val="00C32014"/>
    <w:rsid w:val="00C32114"/>
    <w:rsid w:val="00C334EC"/>
    <w:rsid w:val="00C341B6"/>
    <w:rsid w:val="00C352DF"/>
    <w:rsid w:val="00C3557A"/>
    <w:rsid w:val="00C35CDD"/>
    <w:rsid w:val="00C36863"/>
    <w:rsid w:val="00C36B25"/>
    <w:rsid w:val="00C36B5C"/>
    <w:rsid w:val="00C43134"/>
    <w:rsid w:val="00C44732"/>
    <w:rsid w:val="00C45FFE"/>
    <w:rsid w:val="00C46617"/>
    <w:rsid w:val="00C50578"/>
    <w:rsid w:val="00C51D0C"/>
    <w:rsid w:val="00C53245"/>
    <w:rsid w:val="00C55E12"/>
    <w:rsid w:val="00C55FB5"/>
    <w:rsid w:val="00C56833"/>
    <w:rsid w:val="00C6119F"/>
    <w:rsid w:val="00C61A11"/>
    <w:rsid w:val="00C61AE7"/>
    <w:rsid w:val="00C61BC8"/>
    <w:rsid w:val="00C62295"/>
    <w:rsid w:val="00C6234A"/>
    <w:rsid w:val="00C633CA"/>
    <w:rsid w:val="00C64001"/>
    <w:rsid w:val="00C64132"/>
    <w:rsid w:val="00C64782"/>
    <w:rsid w:val="00C64879"/>
    <w:rsid w:val="00C64BB9"/>
    <w:rsid w:val="00C653DE"/>
    <w:rsid w:val="00C66730"/>
    <w:rsid w:val="00C70A77"/>
    <w:rsid w:val="00C70AF0"/>
    <w:rsid w:val="00C711E5"/>
    <w:rsid w:val="00C734F1"/>
    <w:rsid w:val="00C73F63"/>
    <w:rsid w:val="00C7440A"/>
    <w:rsid w:val="00C7473C"/>
    <w:rsid w:val="00C767E8"/>
    <w:rsid w:val="00C82F6C"/>
    <w:rsid w:val="00C82F79"/>
    <w:rsid w:val="00C82FAC"/>
    <w:rsid w:val="00C83D19"/>
    <w:rsid w:val="00C83E56"/>
    <w:rsid w:val="00C85A6E"/>
    <w:rsid w:val="00C86343"/>
    <w:rsid w:val="00C870DC"/>
    <w:rsid w:val="00C902F2"/>
    <w:rsid w:val="00C908CF"/>
    <w:rsid w:val="00C90AEE"/>
    <w:rsid w:val="00C91A59"/>
    <w:rsid w:val="00C930DE"/>
    <w:rsid w:val="00C939A3"/>
    <w:rsid w:val="00C9521B"/>
    <w:rsid w:val="00C95B1F"/>
    <w:rsid w:val="00C9668D"/>
    <w:rsid w:val="00C97945"/>
    <w:rsid w:val="00C97C0C"/>
    <w:rsid w:val="00CA134D"/>
    <w:rsid w:val="00CA1A01"/>
    <w:rsid w:val="00CA326D"/>
    <w:rsid w:val="00CA423E"/>
    <w:rsid w:val="00CA5209"/>
    <w:rsid w:val="00CA555D"/>
    <w:rsid w:val="00CA5589"/>
    <w:rsid w:val="00CA5D30"/>
    <w:rsid w:val="00CB0645"/>
    <w:rsid w:val="00CB171D"/>
    <w:rsid w:val="00CB1BD9"/>
    <w:rsid w:val="00CB2637"/>
    <w:rsid w:val="00CB2E15"/>
    <w:rsid w:val="00CB3DEA"/>
    <w:rsid w:val="00CB4CAB"/>
    <w:rsid w:val="00CB4F89"/>
    <w:rsid w:val="00CB56BB"/>
    <w:rsid w:val="00CB58BF"/>
    <w:rsid w:val="00CB71BE"/>
    <w:rsid w:val="00CC1CFE"/>
    <w:rsid w:val="00CC23C2"/>
    <w:rsid w:val="00CC358C"/>
    <w:rsid w:val="00CC4824"/>
    <w:rsid w:val="00CC49B2"/>
    <w:rsid w:val="00CC49D9"/>
    <w:rsid w:val="00CC4D1C"/>
    <w:rsid w:val="00CC5B9F"/>
    <w:rsid w:val="00CC5C3D"/>
    <w:rsid w:val="00CC7D56"/>
    <w:rsid w:val="00CD1106"/>
    <w:rsid w:val="00CD1BA4"/>
    <w:rsid w:val="00CD1E2B"/>
    <w:rsid w:val="00CD230E"/>
    <w:rsid w:val="00CD2380"/>
    <w:rsid w:val="00CD2673"/>
    <w:rsid w:val="00CD2723"/>
    <w:rsid w:val="00CD2988"/>
    <w:rsid w:val="00CD39E1"/>
    <w:rsid w:val="00CD487D"/>
    <w:rsid w:val="00CD50D2"/>
    <w:rsid w:val="00CD556A"/>
    <w:rsid w:val="00CD5EDD"/>
    <w:rsid w:val="00CD64BA"/>
    <w:rsid w:val="00CD6EE2"/>
    <w:rsid w:val="00CD6FB4"/>
    <w:rsid w:val="00CE13DF"/>
    <w:rsid w:val="00CE2EC6"/>
    <w:rsid w:val="00CE3E8B"/>
    <w:rsid w:val="00CE433F"/>
    <w:rsid w:val="00CE44BE"/>
    <w:rsid w:val="00CE4EAD"/>
    <w:rsid w:val="00CE50E4"/>
    <w:rsid w:val="00CE5127"/>
    <w:rsid w:val="00CE53CA"/>
    <w:rsid w:val="00CE5A1D"/>
    <w:rsid w:val="00CE5F54"/>
    <w:rsid w:val="00CE633E"/>
    <w:rsid w:val="00CE6916"/>
    <w:rsid w:val="00CE6D8D"/>
    <w:rsid w:val="00CE70DC"/>
    <w:rsid w:val="00CE7383"/>
    <w:rsid w:val="00CF02B2"/>
    <w:rsid w:val="00CF0E93"/>
    <w:rsid w:val="00CF2C7A"/>
    <w:rsid w:val="00CF2F39"/>
    <w:rsid w:val="00CF34A8"/>
    <w:rsid w:val="00CF3819"/>
    <w:rsid w:val="00CF4474"/>
    <w:rsid w:val="00CF45A2"/>
    <w:rsid w:val="00CF46B6"/>
    <w:rsid w:val="00CF6CEF"/>
    <w:rsid w:val="00D00CE3"/>
    <w:rsid w:val="00D01B00"/>
    <w:rsid w:val="00D02545"/>
    <w:rsid w:val="00D04419"/>
    <w:rsid w:val="00D1016C"/>
    <w:rsid w:val="00D10FF4"/>
    <w:rsid w:val="00D125D9"/>
    <w:rsid w:val="00D134B7"/>
    <w:rsid w:val="00D13BAD"/>
    <w:rsid w:val="00D13D7F"/>
    <w:rsid w:val="00D14FB7"/>
    <w:rsid w:val="00D150F8"/>
    <w:rsid w:val="00D16208"/>
    <w:rsid w:val="00D16A87"/>
    <w:rsid w:val="00D17021"/>
    <w:rsid w:val="00D1795F"/>
    <w:rsid w:val="00D227AF"/>
    <w:rsid w:val="00D2529E"/>
    <w:rsid w:val="00D261AE"/>
    <w:rsid w:val="00D27AA2"/>
    <w:rsid w:val="00D27C03"/>
    <w:rsid w:val="00D27C89"/>
    <w:rsid w:val="00D30101"/>
    <w:rsid w:val="00D318F4"/>
    <w:rsid w:val="00D34A6F"/>
    <w:rsid w:val="00D351C6"/>
    <w:rsid w:val="00D35522"/>
    <w:rsid w:val="00D35B3D"/>
    <w:rsid w:val="00D3699F"/>
    <w:rsid w:val="00D408D4"/>
    <w:rsid w:val="00D41194"/>
    <w:rsid w:val="00D42BD6"/>
    <w:rsid w:val="00D43454"/>
    <w:rsid w:val="00D43B8A"/>
    <w:rsid w:val="00D45657"/>
    <w:rsid w:val="00D46D4A"/>
    <w:rsid w:val="00D50602"/>
    <w:rsid w:val="00D507C6"/>
    <w:rsid w:val="00D50AE8"/>
    <w:rsid w:val="00D50DD1"/>
    <w:rsid w:val="00D51089"/>
    <w:rsid w:val="00D5108E"/>
    <w:rsid w:val="00D5246F"/>
    <w:rsid w:val="00D52A81"/>
    <w:rsid w:val="00D52AA7"/>
    <w:rsid w:val="00D538D7"/>
    <w:rsid w:val="00D55585"/>
    <w:rsid w:val="00D558AC"/>
    <w:rsid w:val="00D56D33"/>
    <w:rsid w:val="00D57735"/>
    <w:rsid w:val="00D6006B"/>
    <w:rsid w:val="00D60D5F"/>
    <w:rsid w:val="00D62530"/>
    <w:rsid w:val="00D65CEF"/>
    <w:rsid w:val="00D66097"/>
    <w:rsid w:val="00D67D2A"/>
    <w:rsid w:val="00D70D7D"/>
    <w:rsid w:val="00D7145E"/>
    <w:rsid w:val="00D7379F"/>
    <w:rsid w:val="00D73ADD"/>
    <w:rsid w:val="00D74F39"/>
    <w:rsid w:val="00D7594F"/>
    <w:rsid w:val="00D75DD2"/>
    <w:rsid w:val="00D7675B"/>
    <w:rsid w:val="00D80161"/>
    <w:rsid w:val="00D801D6"/>
    <w:rsid w:val="00D80F89"/>
    <w:rsid w:val="00D812A2"/>
    <w:rsid w:val="00D81391"/>
    <w:rsid w:val="00D81C65"/>
    <w:rsid w:val="00D81C92"/>
    <w:rsid w:val="00D81CA7"/>
    <w:rsid w:val="00D822C1"/>
    <w:rsid w:val="00D8235D"/>
    <w:rsid w:val="00D8235F"/>
    <w:rsid w:val="00D828E6"/>
    <w:rsid w:val="00D82D68"/>
    <w:rsid w:val="00D830DF"/>
    <w:rsid w:val="00D83D73"/>
    <w:rsid w:val="00D83FD3"/>
    <w:rsid w:val="00D84406"/>
    <w:rsid w:val="00D847C8"/>
    <w:rsid w:val="00D86710"/>
    <w:rsid w:val="00D87228"/>
    <w:rsid w:val="00D87538"/>
    <w:rsid w:val="00D87A5B"/>
    <w:rsid w:val="00D90DF4"/>
    <w:rsid w:val="00D9125C"/>
    <w:rsid w:val="00D92533"/>
    <w:rsid w:val="00D92737"/>
    <w:rsid w:val="00D96E0A"/>
    <w:rsid w:val="00DA019B"/>
    <w:rsid w:val="00DA03A9"/>
    <w:rsid w:val="00DA2963"/>
    <w:rsid w:val="00DA3470"/>
    <w:rsid w:val="00DA34F0"/>
    <w:rsid w:val="00DA3765"/>
    <w:rsid w:val="00DA3B65"/>
    <w:rsid w:val="00DA3DF0"/>
    <w:rsid w:val="00DA3F70"/>
    <w:rsid w:val="00DA4899"/>
    <w:rsid w:val="00DA48D3"/>
    <w:rsid w:val="00DA5BCB"/>
    <w:rsid w:val="00DA7D6F"/>
    <w:rsid w:val="00DB18F3"/>
    <w:rsid w:val="00DB1BDD"/>
    <w:rsid w:val="00DB3144"/>
    <w:rsid w:val="00DB45FD"/>
    <w:rsid w:val="00DB4775"/>
    <w:rsid w:val="00DB4961"/>
    <w:rsid w:val="00DB52F8"/>
    <w:rsid w:val="00DB6DB1"/>
    <w:rsid w:val="00DC07DB"/>
    <w:rsid w:val="00DC1027"/>
    <w:rsid w:val="00DC278D"/>
    <w:rsid w:val="00DC2BED"/>
    <w:rsid w:val="00DC2E0F"/>
    <w:rsid w:val="00DC3586"/>
    <w:rsid w:val="00DC3625"/>
    <w:rsid w:val="00DC3FA4"/>
    <w:rsid w:val="00DC41DB"/>
    <w:rsid w:val="00DC4FCA"/>
    <w:rsid w:val="00DC5180"/>
    <w:rsid w:val="00DC6982"/>
    <w:rsid w:val="00DC70F9"/>
    <w:rsid w:val="00DD05EA"/>
    <w:rsid w:val="00DD0F2C"/>
    <w:rsid w:val="00DD29C8"/>
    <w:rsid w:val="00DD34BB"/>
    <w:rsid w:val="00DD36FC"/>
    <w:rsid w:val="00DD4AB6"/>
    <w:rsid w:val="00DD527F"/>
    <w:rsid w:val="00DD5835"/>
    <w:rsid w:val="00DE02AE"/>
    <w:rsid w:val="00DE0F84"/>
    <w:rsid w:val="00DE12A2"/>
    <w:rsid w:val="00DE26D8"/>
    <w:rsid w:val="00DE2B6E"/>
    <w:rsid w:val="00DE30FB"/>
    <w:rsid w:val="00DE3C22"/>
    <w:rsid w:val="00DE470C"/>
    <w:rsid w:val="00DE624B"/>
    <w:rsid w:val="00DF27BA"/>
    <w:rsid w:val="00DF352D"/>
    <w:rsid w:val="00DF3FAA"/>
    <w:rsid w:val="00DF4894"/>
    <w:rsid w:val="00DF526F"/>
    <w:rsid w:val="00DF60BE"/>
    <w:rsid w:val="00DF6639"/>
    <w:rsid w:val="00DF7117"/>
    <w:rsid w:val="00E047C9"/>
    <w:rsid w:val="00E0692D"/>
    <w:rsid w:val="00E06C85"/>
    <w:rsid w:val="00E076A9"/>
    <w:rsid w:val="00E07822"/>
    <w:rsid w:val="00E07880"/>
    <w:rsid w:val="00E1046B"/>
    <w:rsid w:val="00E10D93"/>
    <w:rsid w:val="00E11CEF"/>
    <w:rsid w:val="00E11D8F"/>
    <w:rsid w:val="00E1434E"/>
    <w:rsid w:val="00E14AA6"/>
    <w:rsid w:val="00E14B62"/>
    <w:rsid w:val="00E1579A"/>
    <w:rsid w:val="00E15CE7"/>
    <w:rsid w:val="00E166DD"/>
    <w:rsid w:val="00E21985"/>
    <w:rsid w:val="00E22428"/>
    <w:rsid w:val="00E23465"/>
    <w:rsid w:val="00E241BC"/>
    <w:rsid w:val="00E2448A"/>
    <w:rsid w:val="00E245EF"/>
    <w:rsid w:val="00E258E9"/>
    <w:rsid w:val="00E267E6"/>
    <w:rsid w:val="00E27F78"/>
    <w:rsid w:val="00E301B5"/>
    <w:rsid w:val="00E30BA1"/>
    <w:rsid w:val="00E311C9"/>
    <w:rsid w:val="00E32978"/>
    <w:rsid w:val="00E33485"/>
    <w:rsid w:val="00E34291"/>
    <w:rsid w:val="00E34BD7"/>
    <w:rsid w:val="00E35269"/>
    <w:rsid w:val="00E3538D"/>
    <w:rsid w:val="00E35657"/>
    <w:rsid w:val="00E3577E"/>
    <w:rsid w:val="00E37215"/>
    <w:rsid w:val="00E40225"/>
    <w:rsid w:val="00E424E1"/>
    <w:rsid w:val="00E44109"/>
    <w:rsid w:val="00E445A5"/>
    <w:rsid w:val="00E45DFB"/>
    <w:rsid w:val="00E45FE3"/>
    <w:rsid w:val="00E46CD9"/>
    <w:rsid w:val="00E46D1F"/>
    <w:rsid w:val="00E46FE2"/>
    <w:rsid w:val="00E4784E"/>
    <w:rsid w:val="00E509F8"/>
    <w:rsid w:val="00E50BD4"/>
    <w:rsid w:val="00E51379"/>
    <w:rsid w:val="00E52082"/>
    <w:rsid w:val="00E52A08"/>
    <w:rsid w:val="00E533B3"/>
    <w:rsid w:val="00E5363A"/>
    <w:rsid w:val="00E54236"/>
    <w:rsid w:val="00E54351"/>
    <w:rsid w:val="00E55AE0"/>
    <w:rsid w:val="00E5616F"/>
    <w:rsid w:val="00E56DB5"/>
    <w:rsid w:val="00E57756"/>
    <w:rsid w:val="00E60ABC"/>
    <w:rsid w:val="00E60C77"/>
    <w:rsid w:val="00E62ABC"/>
    <w:rsid w:val="00E630A6"/>
    <w:rsid w:val="00E70D23"/>
    <w:rsid w:val="00E727F4"/>
    <w:rsid w:val="00E72BA6"/>
    <w:rsid w:val="00E72FD4"/>
    <w:rsid w:val="00E73023"/>
    <w:rsid w:val="00E733D3"/>
    <w:rsid w:val="00E73A82"/>
    <w:rsid w:val="00E73A9A"/>
    <w:rsid w:val="00E753D5"/>
    <w:rsid w:val="00E759A2"/>
    <w:rsid w:val="00E76A54"/>
    <w:rsid w:val="00E76EA2"/>
    <w:rsid w:val="00E77F6E"/>
    <w:rsid w:val="00E80B80"/>
    <w:rsid w:val="00E81B6C"/>
    <w:rsid w:val="00E8216B"/>
    <w:rsid w:val="00E824FB"/>
    <w:rsid w:val="00E8252F"/>
    <w:rsid w:val="00E827EE"/>
    <w:rsid w:val="00E82B3B"/>
    <w:rsid w:val="00E82C4B"/>
    <w:rsid w:val="00E82F3C"/>
    <w:rsid w:val="00E837F1"/>
    <w:rsid w:val="00E839D3"/>
    <w:rsid w:val="00E83E6B"/>
    <w:rsid w:val="00E840BB"/>
    <w:rsid w:val="00E849CF"/>
    <w:rsid w:val="00E85F30"/>
    <w:rsid w:val="00E86283"/>
    <w:rsid w:val="00E8755A"/>
    <w:rsid w:val="00E8795A"/>
    <w:rsid w:val="00E879DB"/>
    <w:rsid w:val="00E87BE6"/>
    <w:rsid w:val="00E87D69"/>
    <w:rsid w:val="00E90A33"/>
    <w:rsid w:val="00E90BEB"/>
    <w:rsid w:val="00E90ECC"/>
    <w:rsid w:val="00E9108D"/>
    <w:rsid w:val="00E9170D"/>
    <w:rsid w:val="00E91E8A"/>
    <w:rsid w:val="00E928F9"/>
    <w:rsid w:val="00E937BC"/>
    <w:rsid w:val="00E938EC"/>
    <w:rsid w:val="00E93A6E"/>
    <w:rsid w:val="00E93FB4"/>
    <w:rsid w:val="00E949C6"/>
    <w:rsid w:val="00E94A6E"/>
    <w:rsid w:val="00E96806"/>
    <w:rsid w:val="00E96910"/>
    <w:rsid w:val="00EA0403"/>
    <w:rsid w:val="00EA068C"/>
    <w:rsid w:val="00EA0816"/>
    <w:rsid w:val="00EA0E40"/>
    <w:rsid w:val="00EA0ED4"/>
    <w:rsid w:val="00EA12C4"/>
    <w:rsid w:val="00EA1A01"/>
    <w:rsid w:val="00EA1DF5"/>
    <w:rsid w:val="00EA2136"/>
    <w:rsid w:val="00EA2183"/>
    <w:rsid w:val="00EA2B0C"/>
    <w:rsid w:val="00EA3012"/>
    <w:rsid w:val="00EA33CB"/>
    <w:rsid w:val="00EA4071"/>
    <w:rsid w:val="00EA438F"/>
    <w:rsid w:val="00EA46CB"/>
    <w:rsid w:val="00EA498C"/>
    <w:rsid w:val="00EA548E"/>
    <w:rsid w:val="00EA5804"/>
    <w:rsid w:val="00EB074F"/>
    <w:rsid w:val="00EB0ADF"/>
    <w:rsid w:val="00EB1567"/>
    <w:rsid w:val="00EB1C6E"/>
    <w:rsid w:val="00EB2720"/>
    <w:rsid w:val="00EB3F9A"/>
    <w:rsid w:val="00EB44EC"/>
    <w:rsid w:val="00EB4749"/>
    <w:rsid w:val="00EB509F"/>
    <w:rsid w:val="00EB55B5"/>
    <w:rsid w:val="00EB57A4"/>
    <w:rsid w:val="00EB67A9"/>
    <w:rsid w:val="00EB70C8"/>
    <w:rsid w:val="00EB73E3"/>
    <w:rsid w:val="00EB750D"/>
    <w:rsid w:val="00EC02C3"/>
    <w:rsid w:val="00EC1038"/>
    <w:rsid w:val="00EC1BEE"/>
    <w:rsid w:val="00EC27F1"/>
    <w:rsid w:val="00EC2818"/>
    <w:rsid w:val="00EC2A8A"/>
    <w:rsid w:val="00EC2C78"/>
    <w:rsid w:val="00EC2E8E"/>
    <w:rsid w:val="00EC3053"/>
    <w:rsid w:val="00EC3C81"/>
    <w:rsid w:val="00EC42FA"/>
    <w:rsid w:val="00EC4608"/>
    <w:rsid w:val="00EC461B"/>
    <w:rsid w:val="00EC48F2"/>
    <w:rsid w:val="00EC5D9A"/>
    <w:rsid w:val="00EC6912"/>
    <w:rsid w:val="00EC791A"/>
    <w:rsid w:val="00ED0041"/>
    <w:rsid w:val="00ED1A72"/>
    <w:rsid w:val="00ED1C9E"/>
    <w:rsid w:val="00ED310D"/>
    <w:rsid w:val="00ED414A"/>
    <w:rsid w:val="00ED45C2"/>
    <w:rsid w:val="00ED5900"/>
    <w:rsid w:val="00ED5C63"/>
    <w:rsid w:val="00EE1880"/>
    <w:rsid w:val="00EE2D7C"/>
    <w:rsid w:val="00EE2E11"/>
    <w:rsid w:val="00EE4179"/>
    <w:rsid w:val="00EE45C2"/>
    <w:rsid w:val="00EE66BE"/>
    <w:rsid w:val="00EE6A30"/>
    <w:rsid w:val="00EE6DB8"/>
    <w:rsid w:val="00EE6E6C"/>
    <w:rsid w:val="00EE73C9"/>
    <w:rsid w:val="00EE7494"/>
    <w:rsid w:val="00EF0E16"/>
    <w:rsid w:val="00EF1B47"/>
    <w:rsid w:val="00EF2D0E"/>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1C8"/>
    <w:rsid w:val="00F01A66"/>
    <w:rsid w:val="00F03916"/>
    <w:rsid w:val="00F03E83"/>
    <w:rsid w:val="00F04B2A"/>
    <w:rsid w:val="00F05AF9"/>
    <w:rsid w:val="00F05DE3"/>
    <w:rsid w:val="00F06680"/>
    <w:rsid w:val="00F069C3"/>
    <w:rsid w:val="00F06AFB"/>
    <w:rsid w:val="00F06E5E"/>
    <w:rsid w:val="00F07A36"/>
    <w:rsid w:val="00F07F25"/>
    <w:rsid w:val="00F10F49"/>
    <w:rsid w:val="00F11522"/>
    <w:rsid w:val="00F11A99"/>
    <w:rsid w:val="00F11E9D"/>
    <w:rsid w:val="00F13034"/>
    <w:rsid w:val="00F13D79"/>
    <w:rsid w:val="00F147FF"/>
    <w:rsid w:val="00F14D98"/>
    <w:rsid w:val="00F14DB5"/>
    <w:rsid w:val="00F1533C"/>
    <w:rsid w:val="00F1559B"/>
    <w:rsid w:val="00F158B8"/>
    <w:rsid w:val="00F15990"/>
    <w:rsid w:val="00F16971"/>
    <w:rsid w:val="00F16BA9"/>
    <w:rsid w:val="00F20E3F"/>
    <w:rsid w:val="00F216E5"/>
    <w:rsid w:val="00F21E4A"/>
    <w:rsid w:val="00F24591"/>
    <w:rsid w:val="00F26C80"/>
    <w:rsid w:val="00F26CF6"/>
    <w:rsid w:val="00F27406"/>
    <w:rsid w:val="00F27F29"/>
    <w:rsid w:val="00F30888"/>
    <w:rsid w:val="00F31336"/>
    <w:rsid w:val="00F316DE"/>
    <w:rsid w:val="00F33F00"/>
    <w:rsid w:val="00F3468B"/>
    <w:rsid w:val="00F34D25"/>
    <w:rsid w:val="00F34F72"/>
    <w:rsid w:val="00F37ECB"/>
    <w:rsid w:val="00F40133"/>
    <w:rsid w:val="00F41915"/>
    <w:rsid w:val="00F42279"/>
    <w:rsid w:val="00F44D73"/>
    <w:rsid w:val="00F459C5"/>
    <w:rsid w:val="00F45BC1"/>
    <w:rsid w:val="00F46EEB"/>
    <w:rsid w:val="00F476B9"/>
    <w:rsid w:val="00F50B97"/>
    <w:rsid w:val="00F50CC7"/>
    <w:rsid w:val="00F5106F"/>
    <w:rsid w:val="00F51467"/>
    <w:rsid w:val="00F51C00"/>
    <w:rsid w:val="00F538B8"/>
    <w:rsid w:val="00F53E24"/>
    <w:rsid w:val="00F54727"/>
    <w:rsid w:val="00F54C0F"/>
    <w:rsid w:val="00F55D9B"/>
    <w:rsid w:val="00F560E5"/>
    <w:rsid w:val="00F56722"/>
    <w:rsid w:val="00F56BD0"/>
    <w:rsid w:val="00F56E97"/>
    <w:rsid w:val="00F56EEB"/>
    <w:rsid w:val="00F571CF"/>
    <w:rsid w:val="00F572D5"/>
    <w:rsid w:val="00F6258F"/>
    <w:rsid w:val="00F62AEB"/>
    <w:rsid w:val="00F63477"/>
    <w:rsid w:val="00F636AB"/>
    <w:rsid w:val="00F639C2"/>
    <w:rsid w:val="00F63A69"/>
    <w:rsid w:val="00F65246"/>
    <w:rsid w:val="00F6698E"/>
    <w:rsid w:val="00F66B4D"/>
    <w:rsid w:val="00F66DBF"/>
    <w:rsid w:val="00F71A2F"/>
    <w:rsid w:val="00F71AD9"/>
    <w:rsid w:val="00F72219"/>
    <w:rsid w:val="00F72902"/>
    <w:rsid w:val="00F72EB3"/>
    <w:rsid w:val="00F733A7"/>
    <w:rsid w:val="00F7383F"/>
    <w:rsid w:val="00F75BBA"/>
    <w:rsid w:val="00F75DCF"/>
    <w:rsid w:val="00F7600F"/>
    <w:rsid w:val="00F76A41"/>
    <w:rsid w:val="00F77A33"/>
    <w:rsid w:val="00F81DD1"/>
    <w:rsid w:val="00F8462C"/>
    <w:rsid w:val="00F85AE6"/>
    <w:rsid w:val="00F85F6B"/>
    <w:rsid w:val="00F8606A"/>
    <w:rsid w:val="00F867BA"/>
    <w:rsid w:val="00F86ABA"/>
    <w:rsid w:val="00F91630"/>
    <w:rsid w:val="00F917C1"/>
    <w:rsid w:val="00F917C6"/>
    <w:rsid w:val="00F91D60"/>
    <w:rsid w:val="00F92D1A"/>
    <w:rsid w:val="00F94FE9"/>
    <w:rsid w:val="00F95C02"/>
    <w:rsid w:val="00F9621A"/>
    <w:rsid w:val="00F9699C"/>
    <w:rsid w:val="00F96AD8"/>
    <w:rsid w:val="00F96F67"/>
    <w:rsid w:val="00FA0041"/>
    <w:rsid w:val="00FA02D1"/>
    <w:rsid w:val="00FA0787"/>
    <w:rsid w:val="00FA08B1"/>
    <w:rsid w:val="00FA10EA"/>
    <w:rsid w:val="00FA1B58"/>
    <w:rsid w:val="00FA29D3"/>
    <w:rsid w:val="00FA3FD6"/>
    <w:rsid w:val="00FA44B1"/>
    <w:rsid w:val="00FA6FCA"/>
    <w:rsid w:val="00FB00F5"/>
    <w:rsid w:val="00FB02C1"/>
    <w:rsid w:val="00FB0741"/>
    <w:rsid w:val="00FB0C7B"/>
    <w:rsid w:val="00FB0DDC"/>
    <w:rsid w:val="00FB2922"/>
    <w:rsid w:val="00FB2F67"/>
    <w:rsid w:val="00FB388A"/>
    <w:rsid w:val="00FB3B6A"/>
    <w:rsid w:val="00FB3E63"/>
    <w:rsid w:val="00FB4FB4"/>
    <w:rsid w:val="00FB592F"/>
    <w:rsid w:val="00FB62AC"/>
    <w:rsid w:val="00FB62E9"/>
    <w:rsid w:val="00FB7BAC"/>
    <w:rsid w:val="00FC1660"/>
    <w:rsid w:val="00FC18DE"/>
    <w:rsid w:val="00FC1C17"/>
    <w:rsid w:val="00FC2C86"/>
    <w:rsid w:val="00FC3597"/>
    <w:rsid w:val="00FC3C3D"/>
    <w:rsid w:val="00FC4A2A"/>
    <w:rsid w:val="00FC536B"/>
    <w:rsid w:val="00FC66D7"/>
    <w:rsid w:val="00FC6982"/>
    <w:rsid w:val="00FC699C"/>
    <w:rsid w:val="00FC7429"/>
    <w:rsid w:val="00FC7B97"/>
    <w:rsid w:val="00FC7D68"/>
    <w:rsid w:val="00FD018F"/>
    <w:rsid w:val="00FD0326"/>
    <w:rsid w:val="00FD0DDA"/>
    <w:rsid w:val="00FD1498"/>
    <w:rsid w:val="00FD18F7"/>
    <w:rsid w:val="00FD2E4F"/>
    <w:rsid w:val="00FD3756"/>
    <w:rsid w:val="00FD4485"/>
    <w:rsid w:val="00FD4AA8"/>
    <w:rsid w:val="00FD4C0B"/>
    <w:rsid w:val="00FD4C57"/>
    <w:rsid w:val="00FD6250"/>
    <w:rsid w:val="00FD62FE"/>
    <w:rsid w:val="00FD6DED"/>
    <w:rsid w:val="00FD7050"/>
    <w:rsid w:val="00FD7C6A"/>
    <w:rsid w:val="00FE023B"/>
    <w:rsid w:val="00FE0489"/>
    <w:rsid w:val="00FE24C9"/>
    <w:rsid w:val="00FE27D0"/>
    <w:rsid w:val="00FE2D98"/>
    <w:rsid w:val="00FE2DCC"/>
    <w:rsid w:val="00FE3315"/>
    <w:rsid w:val="00FE39F3"/>
    <w:rsid w:val="00FE3E52"/>
    <w:rsid w:val="00FE61C1"/>
    <w:rsid w:val="00FE6C98"/>
    <w:rsid w:val="00FE7210"/>
    <w:rsid w:val="00FE75B0"/>
    <w:rsid w:val="00FF1302"/>
    <w:rsid w:val="00FF1331"/>
    <w:rsid w:val="00FF1EC7"/>
    <w:rsid w:val="00FF1ED0"/>
    <w:rsid w:val="00FF29D2"/>
    <w:rsid w:val="00FF2A0A"/>
    <w:rsid w:val="00FF3903"/>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44901686">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4245099">
      <w:bodyDiv w:val="1"/>
      <w:marLeft w:val="0"/>
      <w:marRight w:val="0"/>
      <w:marTop w:val="0"/>
      <w:marBottom w:val="0"/>
      <w:divBdr>
        <w:top w:val="none" w:sz="0" w:space="0" w:color="auto"/>
        <w:left w:val="none" w:sz="0" w:space="0" w:color="auto"/>
        <w:bottom w:val="none" w:sz="0" w:space="0" w:color="auto"/>
        <w:right w:val="none" w:sz="0" w:space="0" w:color="auto"/>
      </w:divBdr>
      <w:divsChild>
        <w:div w:id="1290475989">
          <w:marLeft w:val="274"/>
          <w:marRight w:val="0"/>
          <w:marTop w:val="240"/>
          <w:marBottom w:val="0"/>
          <w:divBdr>
            <w:top w:val="none" w:sz="0" w:space="0" w:color="auto"/>
            <w:left w:val="none" w:sz="0" w:space="0" w:color="auto"/>
            <w:bottom w:val="none" w:sz="0" w:space="0" w:color="auto"/>
            <w:right w:val="none" w:sz="0" w:space="0" w:color="auto"/>
          </w:divBdr>
        </w:div>
        <w:div w:id="1531338964">
          <w:marLeft w:val="533"/>
          <w:marRight w:val="0"/>
          <w:marTop w:val="0"/>
          <w:marBottom w:val="0"/>
          <w:divBdr>
            <w:top w:val="none" w:sz="0" w:space="0" w:color="auto"/>
            <w:left w:val="none" w:sz="0" w:space="0" w:color="auto"/>
            <w:bottom w:val="none" w:sz="0" w:space="0" w:color="auto"/>
            <w:right w:val="none" w:sz="0" w:space="0" w:color="auto"/>
          </w:divBdr>
        </w:div>
        <w:div w:id="1982692091">
          <w:marLeft w:val="806"/>
          <w:marRight w:val="0"/>
          <w:marTop w:val="0"/>
          <w:marBottom w:val="0"/>
          <w:divBdr>
            <w:top w:val="none" w:sz="0" w:space="0" w:color="auto"/>
            <w:left w:val="none" w:sz="0" w:space="0" w:color="auto"/>
            <w:bottom w:val="none" w:sz="0" w:space="0" w:color="auto"/>
            <w:right w:val="none" w:sz="0" w:space="0" w:color="auto"/>
          </w:divBdr>
        </w:div>
        <w:div w:id="313335499">
          <w:marLeft w:val="806"/>
          <w:marRight w:val="0"/>
          <w:marTop w:val="0"/>
          <w:marBottom w:val="0"/>
          <w:divBdr>
            <w:top w:val="none" w:sz="0" w:space="0" w:color="auto"/>
            <w:left w:val="none" w:sz="0" w:space="0" w:color="auto"/>
            <w:bottom w:val="none" w:sz="0" w:space="0" w:color="auto"/>
            <w:right w:val="none" w:sz="0" w:space="0" w:color="auto"/>
          </w:divBdr>
        </w:div>
        <w:div w:id="1058358737">
          <w:marLeft w:val="1080"/>
          <w:marRight w:val="0"/>
          <w:marTop w:val="0"/>
          <w:marBottom w:val="0"/>
          <w:divBdr>
            <w:top w:val="none" w:sz="0" w:space="0" w:color="auto"/>
            <w:left w:val="none" w:sz="0" w:space="0" w:color="auto"/>
            <w:bottom w:val="none" w:sz="0" w:space="0" w:color="auto"/>
            <w:right w:val="none" w:sz="0" w:space="0" w:color="auto"/>
          </w:divBdr>
        </w:div>
        <w:div w:id="105589285">
          <w:marLeft w:val="1080"/>
          <w:marRight w:val="0"/>
          <w:marTop w:val="0"/>
          <w:marBottom w:val="0"/>
          <w:divBdr>
            <w:top w:val="none" w:sz="0" w:space="0" w:color="auto"/>
            <w:left w:val="none" w:sz="0" w:space="0" w:color="auto"/>
            <w:bottom w:val="none" w:sz="0" w:space="0" w:color="auto"/>
            <w:right w:val="none" w:sz="0" w:space="0" w:color="auto"/>
          </w:divBdr>
        </w:div>
        <w:div w:id="908733431">
          <w:marLeft w:val="806"/>
          <w:marRight w:val="0"/>
          <w:marTop w:val="0"/>
          <w:marBottom w:val="0"/>
          <w:divBdr>
            <w:top w:val="none" w:sz="0" w:space="0" w:color="auto"/>
            <w:left w:val="none" w:sz="0" w:space="0" w:color="auto"/>
            <w:bottom w:val="none" w:sz="0" w:space="0" w:color="auto"/>
            <w:right w:val="none" w:sz="0" w:space="0" w:color="auto"/>
          </w:divBdr>
        </w:div>
        <w:div w:id="1574467563">
          <w:marLeft w:val="806"/>
          <w:marRight w:val="0"/>
          <w:marTop w:val="0"/>
          <w:marBottom w:val="0"/>
          <w:divBdr>
            <w:top w:val="none" w:sz="0" w:space="0" w:color="auto"/>
            <w:left w:val="none" w:sz="0" w:space="0" w:color="auto"/>
            <w:bottom w:val="none" w:sz="0" w:space="0" w:color="auto"/>
            <w:right w:val="none" w:sz="0" w:space="0" w:color="auto"/>
          </w:divBdr>
        </w:div>
        <w:div w:id="20671015">
          <w:marLeft w:val="806"/>
          <w:marRight w:val="0"/>
          <w:marTop w:val="0"/>
          <w:marBottom w:val="0"/>
          <w:divBdr>
            <w:top w:val="none" w:sz="0" w:space="0" w:color="auto"/>
            <w:left w:val="none" w:sz="0" w:space="0" w:color="auto"/>
            <w:bottom w:val="none" w:sz="0" w:space="0" w:color="auto"/>
            <w:right w:val="none" w:sz="0" w:space="0" w:color="auto"/>
          </w:divBdr>
        </w:div>
        <w:div w:id="648830547">
          <w:marLeft w:val="533"/>
          <w:marRight w:val="0"/>
          <w:marTop w:val="0"/>
          <w:marBottom w:val="0"/>
          <w:divBdr>
            <w:top w:val="none" w:sz="0" w:space="0" w:color="auto"/>
            <w:left w:val="none" w:sz="0" w:space="0" w:color="auto"/>
            <w:bottom w:val="none" w:sz="0" w:space="0" w:color="auto"/>
            <w:right w:val="none" w:sz="0" w:space="0" w:color="auto"/>
          </w:divBdr>
        </w:div>
        <w:div w:id="1672099554">
          <w:marLeft w:val="533"/>
          <w:marRight w:val="0"/>
          <w:marTop w:val="0"/>
          <w:marBottom w:val="0"/>
          <w:divBdr>
            <w:top w:val="none" w:sz="0" w:space="0" w:color="auto"/>
            <w:left w:val="none" w:sz="0" w:space="0" w:color="auto"/>
            <w:bottom w:val="none" w:sz="0" w:space="0" w:color="auto"/>
            <w:right w:val="none" w:sz="0" w:space="0" w:color="auto"/>
          </w:divBdr>
        </w:div>
      </w:divsChild>
    </w:div>
    <w:div w:id="25363200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706">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93551271">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86093208">
      <w:bodyDiv w:val="1"/>
      <w:marLeft w:val="0"/>
      <w:marRight w:val="0"/>
      <w:marTop w:val="0"/>
      <w:marBottom w:val="0"/>
      <w:divBdr>
        <w:top w:val="none" w:sz="0" w:space="0" w:color="auto"/>
        <w:left w:val="none" w:sz="0" w:space="0" w:color="auto"/>
        <w:bottom w:val="none" w:sz="0" w:space="0" w:color="auto"/>
        <w:right w:val="none" w:sz="0" w:space="0" w:color="auto"/>
      </w:divBdr>
      <w:divsChild>
        <w:div w:id="1989439178">
          <w:marLeft w:val="274"/>
          <w:marRight w:val="0"/>
          <w:marTop w:val="240"/>
          <w:marBottom w:val="0"/>
          <w:divBdr>
            <w:top w:val="none" w:sz="0" w:space="0" w:color="auto"/>
            <w:left w:val="none" w:sz="0" w:space="0" w:color="auto"/>
            <w:bottom w:val="none" w:sz="0" w:space="0" w:color="auto"/>
            <w:right w:val="none" w:sz="0" w:space="0" w:color="auto"/>
          </w:divBdr>
        </w:div>
        <w:div w:id="2044479103">
          <w:marLeft w:val="533"/>
          <w:marRight w:val="0"/>
          <w:marTop w:val="0"/>
          <w:marBottom w:val="0"/>
          <w:divBdr>
            <w:top w:val="none" w:sz="0" w:space="0" w:color="auto"/>
            <w:left w:val="none" w:sz="0" w:space="0" w:color="auto"/>
            <w:bottom w:val="none" w:sz="0" w:space="0" w:color="auto"/>
            <w:right w:val="none" w:sz="0" w:space="0" w:color="auto"/>
          </w:divBdr>
        </w:div>
        <w:div w:id="714158061">
          <w:marLeft w:val="806"/>
          <w:marRight w:val="0"/>
          <w:marTop w:val="0"/>
          <w:marBottom w:val="0"/>
          <w:divBdr>
            <w:top w:val="none" w:sz="0" w:space="0" w:color="auto"/>
            <w:left w:val="none" w:sz="0" w:space="0" w:color="auto"/>
            <w:bottom w:val="none" w:sz="0" w:space="0" w:color="auto"/>
            <w:right w:val="none" w:sz="0" w:space="0" w:color="auto"/>
          </w:divBdr>
        </w:div>
        <w:div w:id="1255892408">
          <w:marLeft w:val="806"/>
          <w:marRight w:val="0"/>
          <w:marTop w:val="0"/>
          <w:marBottom w:val="0"/>
          <w:divBdr>
            <w:top w:val="none" w:sz="0" w:space="0" w:color="auto"/>
            <w:left w:val="none" w:sz="0" w:space="0" w:color="auto"/>
            <w:bottom w:val="none" w:sz="0" w:space="0" w:color="auto"/>
            <w:right w:val="none" w:sz="0" w:space="0" w:color="auto"/>
          </w:divBdr>
        </w:div>
        <w:div w:id="944193012">
          <w:marLeft w:val="1080"/>
          <w:marRight w:val="0"/>
          <w:marTop w:val="0"/>
          <w:marBottom w:val="0"/>
          <w:divBdr>
            <w:top w:val="none" w:sz="0" w:space="0" w:color="auto"/>
            <w:left w:val="none" w:sz="0" w:space="0" w:color="auto"/>
            <w:bottom w:val="none" w:sz="0" w:space="0" w:color="auto"/>
            <w:right w:val="none" w:sz="0" w:space="0" w:color="auto"/>
          </w:divBdr>
        </w:div>
        <w:div w:id="1310867710">
          <w:marLeft w:val="1080"/>
          <w:marRight w:val="0"/>
          <w:marTop w:val="0"/>
          <w:marBottom w:val="0"/>
          <w:divBdr>
            <w:top w:val="none" w:sz="0" w:space="0" w:color="auto"/>
            <w:left w:val="none" w:sz="0" w:space="0" w:color="auto"/>
            <w:bottom w:val="none" w:sz="0" w:space="0" w:color="auto"/>
            <w:right w:val="none" w:sz="0" w:space="0" w:color="auto"/>
          </w:divBdr>
        </w:div>
        <w:div w:id="599336891">
          <w:marLeft w:val="1080"/>
          <w:marRight w:val="0"/>
          <w:marTop w:val="0"/>
          <w:marBottom w:val="0"/>
          <w:divBdr>
            <w:top w:val="none" w:sz="0" w:space="0" w:color="auto"/>
            <w:left w:val="none" w:sz="0" w:space="0" w:color="auto"/>
            <w:bottom w:val="none" w:sz="0" w:space="0" w:color="auto"/>
            <w:right w:val="none" w:sz="0" w:space="0" w:color="auto"/>
          </w:divBdr>
        </w:div>
        <w:div w:id="1267731279">
          <w:marLeft w:val="806"/>
          <w:marRight w:val="0"/>
          <w:marTop w:val="0"/>
          <w:marBottom w:val="0"/>
          <w:divBdr>
            <w:top w:val="none" w:sz="0" w:space="0" w:color="auto"/>
            <w:left w:val="none" w:sz="0" w:space="0" w:color="auto"/>
            <w:bottom w:val="none" w:sz="0" w:space="0" w:color="auto"/>
            <w:right w:val="none" w:sz="0" w:space="0" w:color="auto"/>
          </w:divBdr>
        </w:div>
        <w:div w:id="663582549">
          <w:marLeft w:val="806"/>
          <w:marRight w:val="0"/>
          <w:marTop w:val="0"/>
          <w:marBottom w:val="0"/>
          <w:divBdr>
            <w:top w:val="none" w:sz="0" w:space="0" w:color="auto"/>
            <w:left w:val="none" w:sz="0" w:space="0" w:color="auto"/>
            <w:bottom w:val="none" w:sz="0" w:space="0" w:color="auto"/>
            <w:right w:val="none" w:sz="0" w:space="0" w:color="auto"/>
          </w:divBdr>
        </w:div>
        <w:div w:id="1172376561">
          <w:marLeft w:val="533"/>
          <w:marRight w:val="0"/>
          <w:marTop w:val="0"/>
          <w:marBottom w:val="0"/>
          <w:divBdr>
            <w:top w:val="none" w:sz="0" w:space="0" w:color="auto"/>
            <w:left w:val="none" w:sz="0" w:space="0" w:color="auto"/>
            <w:bottom w:val="none" w:sz="0" w:space="0" w:color="auto"/>
            <w:right w:val="none" w:sz="0" w:space="0" w:color="auto"/>
          </w:divBdr>
        </w:div>
      </w:divsChild>
    </w:div>
    <w:div w:id="519512515">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671499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78751933">
      <w:bodyDiv w:val="1"/>
      <w:marLeft w:val="0"/>
      <w:marRight w:val="0"/>
      <w:marTop w:val="0"/>
      <w:marBottom w:val="0"/>
      <w:divBdr>
        <w:top w:val="none" w:sz="0" w:space="0" w:color="auto"/>
        <w:left w:val="none" w:sz="0" w:space="0" w:color="auto"/>
        <w:bottom w:val="none" w:sz="0" w:space="0" w:color="auto"/>
        <w:right w:val="none" w:sz="0" w:space="0" w:color="auto"/>
      </w:divBdr>
      <w:divsChild>
        <w:div w:id="584340085">
          <w:marLeft w:val="274"/>
          <w:marRight w:val="0"/>
          <w:marTop w:val="240"/>
          <w:marBottom w:val="0"/>
          <w:divBdr>
            <w:top w:val="none" w:sz="0" w:space="0" w:color="auto"/>
            <w:left w:val="none" w:sz="0" w:space="0" w:color="auto"/>
            <w:bottom w:val="none" w:sz="0" w:space="0" w:color="auto"/>
            <w:right w:val="none" w:sz="0" w:space="0" w:color="auto"/>
          </w:divBdr>
        </w:div>
        <w:div w:id="1579244793">
          <w:marLeft w:val="533"/>
          <w:marRight w:val="0"/>
          <w:marTop w:val="0"/>
          <w:marBottom w:val="0"/>
          <w:divBdr>
            <w:top w:val="none" w:sz="0" w:space="0" w:color="auto"/>
            <w:left w:val="none" w:sz="0" w:space="0" w:color="auto"/>
            <w:bottom w:val="none" w:sz="0" w:space="0" w:color="auto"/>
            <w:right w:val="none" w:sz="0" w:space="0" w:color="auto"/>
          </w:divBdr>
        </w:div>
        <w:div w:id="1617759541">
          <w:marLeft w:val="533"/>
          <w:marRight w:val="0"/>
          <w:marTop w:val="0"/>
          <w:marBottom w:val="0"/>
          <w:divBdr>
            <w:top w:val="none" w:sz="0" w:space="0" w:color="auto"/>
            <w:left w:val="none" w:sz="0" w:space="0" w:color="auto"/>
            <w:bottom w:val="none" w:sz="0" w:space="0" w:color="auto"/>
            <w:right w:val="none" w:sz="0" w:space="0" w:color="auto"/>
          </w:divBdr>
        </w:div>
      </w:divsChild>
    </w:div>
    <w:div w:id="109146697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37726649">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4992371">
      <w:bodyDiv w:val="1"/>
      <w:marLeft w:val="0"/>
      <w:marRight w:val="0"/>
      <w:marTop w:val="0"/>
      <w:marBottom w:val="0"/>
      <w:divBdr>
        <w:top w:val="none" w:sz="0" w:space="0" w:color="auto"/>
        <w:left w:val="none" w:sz="0" w:space="0" w:color="auto"/>
        <w:bottom w:val="none" w:sz="0" w:space="0" w:color="auto"/>
        <w:right w:val="none" w:sz="0" w:space="0" w:color="auto"/>
      </w:divBdr>
      <w:divsChild>
        <w:div w:id="266742631">
          <w:marLeft w:val="274"/>
          <w:marRight w:val="0"/>
          <w:marTop w:val="240"/>
          <w:marBottom w:val="0"/>
          <w:divBdr>
            <w:top w:val="none" w:sz="0" w:space="0" w:color="auto"/>
            <w:left w:val="none" w:sz="0" w:space="0" w:color="auto"/>
            <w:bottom w:val="none" w:sz="0" w:space="0" w:color="auto"/>
            <w:right w:val="none" w:sz="0" w:space="0" w:color="auto"/>
          </w:divBdr>
        </w:div>
        <w:div w:id="392199762">
          <w:marLeft w:val="533"/>
          <w:marRight w:val="0"/>
          <w:marTop w:val="0"/>
          <w:marBottom w:val="0"/>
          <w:divBdr>
            <w:top w:val="none" w:sz="0" w:space="0" w:color="auto"/>
            <w:left w:val="none" w:sz="0" w:space="0" w:color="auto"/>
            <w:bottom w:val="none" w:sz="0" w:space="0" w:color="auto"/>
            <w:right w:val="none" w:sz="0" w:space="0" w:color="auto"/>
          </w:divBdr>
        </w:div>
        <w:div w:id="517475668">
          <w:marLeft w:val="533"/>
          <w:marRight w:val="0"/>
          <w:marTop w:val="0"/>
          <w:marBottom w:val="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98178918">
      <w:bodyDiv w:val="1"/>
      <w:marLeft w:val="0"/>
      <w:marRight w:val="0"/>
      <w:marTop w:val="0"/>
      <w:marBottom w:val="0"/>
      <w:divBdr>
        <w:top w:val="none" w:sz="0" w:space="0" w:color="auto"/>
        <w:left w:val="none" w:sz="0" w:space="0" w:color="auto"/>
        <w:bottom w:val="none" w:sz="0" w:space="0" w:color="auto"/>
        <w:right w:val="none" w:sz="0" w:space="0" w:color="auto"/>
      </w:divBdr>
      <w:divsChild>
        <w:div w:id="1445343979">
          <w:marLeft w:val="274"/>
          <w:marRight w:val="0"/>
          <w:marTop w:val="240"/>
          <w:marBottom w:val="0"/>
          <w:divBdr>
            <w:top w:val="none" w:sz="0" w:space="0" w:color="auto"/>
            <w:left w:val="none" w:sz="0" w:space="0" w:color="auto"/>
            <w:bottom w:val="none" w:sz="0" w:space="0" w:color="auto"/>
            <w:right w:val="none" w:sz="0" w:space="0" w:color="auto"/>
          </w:divBdr>
        </w:div>
        <w:div w:id="1966302162">
          <w:marLeft w:val="533"/>
          <w:marRight w:val="0"/>
          <w:marTop w:val="0"/>
          <w:marBottom w:val="0"/>
          <w:divBdr>
            <w:top w:val="none" w:sz="0" w:space="0" w:color="auto"/>
            <w:left w:val="none" w:sz="0" w:space="0" w:color="auto"/>
            <w:bottom w:val="none" w:sz="0" w:space="0" w:color="auto"/>
            <w:right w:val="none" w:sz="0" w:space="0" w:color="auto"/>
          </w:divBdr>
        </w:div>
        <w:div w:id="333579143">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7061727">
      <w:bodyDiv w:val="1"/>
      <w:marLeft w:val="0"/>
      <w:marRight w:val="0"/>
      <w:marTop w:val="0"/>
      <w:marBottom w:val="0"/>
      <w:divBdr>
        <w:top w:val="none" w:sz="0" w:space="0" w:color="auto"/>
        <w:left w:val="none" w:sz="0" w:space="0" w:color="auto"/>
        <w:bottom w:val="none" w:sz="0" w:space="0" w:color="auto"/>
        <w:right w:val="none" w:sz="0" w:space="0" w:color="auto"/>
      </w:divBdr>
      <w:divsChild>
        <w:div w:id="1678270890">
          <w:marLeft w:val="274"/>
          <w:marRight w:val="0"/>
          <w:marTop w:val="240"/>
          <w:marBottom w:val="0"/>
          <w:divBdr>
            <w:top w:val="none" w:sz="0" w:space="0" w:color="auto"/>
            <w:left w:val="none" w:sz="0" w:space="0" w:color="auto"/>
            <w:bottom w:val="none" w:sz="0" w:space="0" w:color="auto"/>
            <w:right w:val="none" w:sz="0" w:space="0" w:color="auto"/>
          </w:divBdr>
        </w:div>
        <w:div w:id="551776137">
          <w:marLeft w:val="533"/>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5528</TotalTime>
  <Pages>4</Pages>
  <Words>1616</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1073</cp:revision>
  <dcterms:created xsi:type="dcterms:W3CDTF">2020-08-06T06:51:00Z</dcterms:created>
  <dcterms:modified xsi:type="dcterms:W3CDTF">2021-05-11T08:23:00Z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